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9D0EE5" w:rsidP="00E60A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</w:t>
      </w:r>
      <w:r w:rsidR="00E441C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B6FCD">
        <w:rPr>
          <w:rFonts w:ascii="Times New Roman" w:hAnsi="Times New Roman" w:cs="Times New Roman"/>
          <w:sz w:val="24"/>
          <w:szCs w:val="24"/>
        </w:rPr>
        <w:t xml:space="preserve">     </w:t>
      </w:r>
      <w:r w:rsidRPr="00BB6FCD">
        <w:rPr>
          <w:rFonts w:ascii="Times New Roman" w:hAnsi="Times New Roman" w:cs="Times New Roman"/>
          <w:noProof/>
          <w:sz w:val="24"/>
          <w:szCs w:val="24"/>
          <w:lang w:val="sr-Latn-CS" w:eastAsia="sr-Latn-CS"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CA6D4C" w:rsidRDefault="009D0EE5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CA6D4C" w:rsidRDefault="009D0EE5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УПРАВУ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="007259B5">
        <w:rPr>
          <w:rFonts w:ascii="Times New Roman" w:eastAsia="Times New Roman" w:hAnsi="Times New Roman"/>
          <w:sz w:val="24"/>
          <w:szCs w:val="24"/>
          <w:lang w:val="sr-Cyrl-RS"/>
        </w:rPr>
        <w:t>34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9F7EC4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>5</w:t>
      </w:r>
    </w:p>
    <w:p w:rsidR="009D0EE5" w:rsidRPr="00CA6D4C" w:rsidRDefault="009D0EE5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7259B5">
        <w:rPr>
          <w:rFonts w:ascii="Times New Roman" w:hAnsi="Times New Roman" w:cs="Times New Roman"/>
          <w:bCs/>
          <w:sz w:val="24"/>
          <w:szCs w:val="24"/>
          <w:lang w:val="sr-Cyrl-RS"/>
        </w:rPr>
        <w:t>30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септембар 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9F7EC4"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B840A4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9B5">
        <w:rPr>
          <w:rFonts w:ascii="Times New Roman" w:hAnsi="Times New Roman" w:cs="Times New Roman"/>
          <w:sz w:val="24"/>
          <w:szCs w:val="24"/>
          <w:lang w:val="sr-Cyrl-RS"/>
        </w:rPr>
        <w:t xml:space="preserve">добара - </w:t>
      </w:r>
      <w:r w:rsidR="007259B5">
        <w:rPr>
          <w:rFonts w:ascii="Times New Roman" w:hAnsi="Times New Roman"/>
          <w:bCs/>
          <w:sz w:val="24"/>
          <w:szCs w:val="24"/>
          <w:lang w:val="sr-Cyrl-CS"/>
        </w:rPr>
        <w:t>Опрема за салу за преводиоце</w:t>
      </w:r>
    </w:p>
    <w:p w:rsidR="00AD7A7F" w:rsidRPr="007D0AE6" w:rsidRDefault="007D0AE6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AD7A7F" w:rsidRDefault="009300C5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ЈН</w:t>
      </w:r>
      <w:r w:rsidR="00AD1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16289B">
        <w:rPr>
          <w:rFonts w:ascii="Times New Roman" w:hAnsi="Times New Roman" w:cs="Times New Roman"/>
          <w:sz w:val="24"/>
          <w:szCs w:val="24"/>
        </w:rPr>
        <w:t xml:space="preserve">: </w:t>
      </w:r>
      <w:r w:rsidR="007259B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B6FCD" w:rsidRPr="0016289B">
        <w:rPr>
          <w:rFonts w:ascii="Times New Roman" w:hAnsi="Times New Roman" w:cs="Times New Roman"/>
          <w:sz w:val="24"/>
          <w:szCs w:val="24"/>
        </w:rPr>
        <w:t>/20</w:t>
      </w:r>
      <w:r w:rsidR="0016289B" w:rsidRPr="0016289B">
        <w:rPr>
          <w:rFonts w:ascii="Times New Roman" w:hAnsi="Times New Roman" w:cs="Times New Roman"/>
          <w:sz w:val="24"/>
          <w:szCs w:val="24"/>
        </w:rPr>
        <w:t>20</w:t>
      </w:r>
    </w:p>
    <w:p w:rsid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D4C" w:rsidRP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089" w:rsidRPr="00BB6FCD" w:rsidRDefault="0056408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1F1977" w:rsidTr="00E340C2">
        <w:trPr>
          <w:trHeight w:val="258"/>
        </w:trPr>
        <w:tc>
          <w:tcPr>
            <w:tcW w:w="4081" w:type="dxa"/>
          </w:tcPr>
          <w:p w:rsidR="00E340C2" w:rsidRPr="000D0386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D0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отварање понуда</w:t>
            </w:r>
          </w:p>
        </w:tc>
        <w:tc>
          <w:tcPr>
            <w:tcW w:w="4925" w:type="dxa"/>
          </w:tcPr>
          <w:p w:rsidR="00E340C2" w:rsidRPr="009F7EC4" w:rsidRDefault="007259B5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AF7023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C8" w:rsidRDefault="00E441C8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Pr="00BB6FCD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48" w:rsidRPr="009F7EC4" w:rsidRDefault="00AD7A7F" w:rsidP="009F7EC4">
      <w:pPr>
        <w:jc w:val="center"/>
        <w:rPr>
          <w:rFonts w:ascii="Times New Roman" w:hAnsi="Times New Roman" w:cs="Times New Roman"/>
          <w:sz w:val="24"/>
          <w:szCs w:val="24"/>
        </w:rPr>
        <w:sectPr w:rsidR="00632448" w:rsidRPr="009F7EC4" w:rsidSect="00523AE3">
          <w:footerReference w:type="default" r:id="rId9"/>
          <w:type w:val="continuous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BB6FCD">
        <w:rPr>
          <w:rFonts w:ascii="Times New Roman" w:hAnsi="Times New Roman" w:cs="Times New Roman"/>
          <w:sz w:val="24"/>
          <w:szCs w:val="24"/>
        </w:rPr>
        <w:br w:type="page"/>
      </w: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iCs/>
          <w:sz w:val="24"/>
          <w:lang w:val="sr-Cyrl-CS"/>
        </w:rPr>
      </w:pP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iCs/>
          <w:sz w:val="24"/>
          <w:lang w:val="sr-Cyrl-CS"/>
        </w:rPr>
      </w:pPr>
    </w:p>
    <w:p w:rsidR="007259B5" w:rsidRDefault="007259B5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b w:val="0"/>
          <w:bCs w:val="0"/>
          <w:iCs/>
          <w:sz w:val="24"/>
          <w:lang w:val="sr-Cyrl-CS"/>
        </w:rPr>
      </w:pPr>
      <w:r w:rsidRPr="007259B5">
        <w:rPr>
          <w:rFonts w:ascii="Times New Roman" w:hAnsi="Times New Roman" w:cs="Times New Roman"/>
          <w:b w:val="0"/>
          <w:bCs w:val="0"/>
          <w:iCs/>
          <w:sz w:val="24"/>
          <w:lang w:val="sr-Cyrl-CS"/>
        </w:rPr>
        <w:t>I. ОПШТИ ПОДАЦИ О ЈАВНОЈ НАБАВЦИ</w:t>
      </w:r>
    </w:p>
    <w:p w:rsidR="00564089" w:rsidRPr="007259B5" w:rsidRDefault="00564089" w:rsidP="007259B5">
      <w:pPr>
        <w:pStyle w:val="Heading1"/>
        <w:numPr>
          <w:ilvl w:val="0"/>
          <w:numId w:val="0"/>
        </w:numPr>
        <w:ind w:left="2911"/>
        <w:rPr>
          <w:rFonts w:ascii="Times New Roman" w:hAnsi="Times New Roman" w:cs="Times New Roman"/>
          <w:b w:val="0"/>
          <w:bCs w:val="0"/>
          <w:i w:val="0"/>
          <w:iCs/>
          <w:sz w:val="24"/>
        </w:rPr>
      </w:pP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1.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Подаци о наручиоцу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Наручилац: 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Cyrl-CS"/>
        </w:rPr>
        <w:t>Национала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академија за јавну управу (у даљем тексту: Наручилац)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Седиште Наручиоца: Нови Београд, Булевар Михајла Пупина број </w:t>
      </w:r>
      <w:r w:rsidRPr="007259B5">
        <w:rPr>
          <w:rFonts w:ascii="Times New Roman" w:hAnsi="Times New Roman" w:cs="Times New Roman"/>
          <w:sz w:val="24"/>
          <w:szCs w:val="24"/>
        </w:rPr>
        <w:t>2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, пословни простор  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ab/>
        <w:t>Војводе Степе 51, Београд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ПИБ: 110464012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Pr="007259B5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7259B5" w:rsidRPr="007259B5" w:rsidRDefault="007259B5" w:rsidP="007259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Јединствени број КЈС </w:t>
      </w:r>
      <w:r w:rsidRPr="007259B5">
        <w:rPr>
          <w:rFonts w:ascii="Times New Roman" w:hAnsi="Times New Roman" w:cs="Times New Roman"/>
          <w:sz w:val="24"/>
          <w:szCs w:val="24"/>
        </w:rPr>
        <w:t>41100</w:t>
      </w:r>
    </w:p>
    <w:p w:rsidR="007259B5" w:rsidRPr="007259B5" w:rsidRDefault="007259B5" w:rsidP="00725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10" w:history="1">
        <w:r w:rsidRPr="007259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www.napa.gov.rs</w:t>
        </w:r>
      </w:hyperlink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2.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Врста поступка јавне набавке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3.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Предмет јавне набавке</w:t>
      </w:r>
    </w:p>
    <w:p w:rsidR="007259B5" w:rsidRPr="007259B5" w:rsidRDefault="007259B5" w:rsidP="007259B5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набавка добара - </w:t>
      </w:r>
      <w:r w:rsidRPr="007259B5">
        <w:rPr>
          <w:rFonts w:ascii="Times New Roman" w:hAnsi="Times New Roman" w:cs="Times New Roman"/>
          <w:bCs/>
          <w:sz w:val="24"/>
          <w:szCs w:val="24"/>
          <w:lang w:val="sr-Cyrl-CS"/>
        </w:rPr>
        <w:t>Опрема за салу за преводиоце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59B5">
        <w:rPr>
          <w:rFonts w:ascii="Times New Roman" w:eastAsiaTheme="minorHAnsi" w:hAnsi="Times New Roman" w:cs="Times New Roman"/>
          <w:color w:val="000000"/>
          <w:sz w:val="24"/>
          <w:szCs w:val="24"/>
          <w:lang w:val="sr-Cyrl-CS"/>
        </w:rPr>
        <w:t>ОРН: 32322000 Мултимедијска опрема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Редни број јавне набавке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259B5">
        <w:rPr>
          <w:rFonts w:ascii="Times New Roman" w:hAnsi="Times New Roman" w:cs="Times New Roman"/>
          <w:sz w:val="24"/>
          <w:szCs w:val="24"/>
        </w:rPr>
        <w:t xml:space="preserve">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>ЈН 6</w:t>
      </w:r>
      <w:r w:rsidRPr="007259B5">
        <w:rPr>
          <w:rFonts w:ascii="Times New Roman" w:hAnsi="Times New Roman" w:cs="Times New Roman"/>
          <w:sz w:val="24"/>
          <w:szCs w:val="24"/>
        </w:rPr>
        <w:t>/2020</w:t>
      </w:r>
    </w:p>
    <w:p w:rsidR="007259B5" w:rsidRPr="007259B5" w:rsidRDefault="007259B5" w:rsidP="007259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Понуђене услуге морају у целини да одговарају захтевима из конкурсне документације.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4.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Циљ поступка</w:t>
      </w:r>
    </w:p>
    <w:p w:rsidR="007259B5" w:rsidRPr="007259B5" w:rsidRDefault="007259B5" w:rsidP="007259B5">
      <w:pPr>
        <w:ind w:right="-306" w:firstLine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Поступак јавне набавке се спроводи ради закључења уговора о јавној</w:t>
      </w:r>
      <w:r w:rsidRPr="007259B5">
        <w:rPr>
          <w:rFonts w:ascii="Times New Roman" w:hAnsi="Times New Roman" w:cs="Times New Roman"/>
          <w:sz w:val="24"/>
          <w:szCs w:val="24"/>
        </w:rPr>
        <w:t xml:space="preserve"> </w:t>
      </w:r>
      <w:r w:rsidRPr="007259B5">
        <w:rPr>
          <w:rFonts w:ascii="Times New Roman" w:hAnsi="Times New Roman" w:cs="Times New Roman"/>
          <w:sz w:val="24"/>
          <w:szCs w:val="24"/>
          <w:lang w:val="sr-Cyrl-CS"/>
        </w:rPr>
        <w:t>набавци.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5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Контакт (лице или служба)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 контакт: Божидар 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Cyrl-CS"/>
        </w:rPr>
        <w:t>Фекоња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7259B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7259B5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7259B5">
        <w:rPr>
          <w:rFonts w:ascii="Times New Roman" w:hAnsi="Times New Roman" w:cs="Times New Roman"/>
          <w:sz w:val="24"/>
          <w:szCs w:val="24"/>
          <w:lang w:val="sr-Latn-RS"/>
        </w:rPr>
        <w:t>mail</w:t>
      </w:r>
      <w:proofErr w:type="spellEnd"/>
      <w:r w:rsidRPr="007259B5"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  <w:r w:rsidRPr="007259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1" w:history="1">
        <w:r w:rsidRPr="007259B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bozidar.fekonja@napa.gov.rs</w:t>
        </w:r>
      </w:hyperlink>
      <w:r w:rsidRPr="007259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259B5" w:rsidRPr="007259B5" w:rsidRDefault="007259B5" w:rsidP="007259B5">
      <w:pPr>
        <w:ind w:left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Радно време Наручиоца је радним данима од 07:30-15:30 часова.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9B5" w:rsidRPr="007259B5" w:rsidRDefault="007259B5" w:rsidP="007259B5">
      <w:pPr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7259B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6. </w:t>
      </w:r>
      <w:r w:rsidRPr="007259B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Партије</w:t>
      </w:r>
    </w:p>
    <w:p w:rsidR="007259B5" w:rsidRPr="007259B5" w:rsidRDefault="007259B5" w:rsidP="007259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9B5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није обликован по партијама.</w:t>
      </w:r>
    </w:p>
    <w:p w:rsidR="007259B5" w:rsidRPr="007259B5" w:rsidRDefault="007259B5" w:rsidP="007259B5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0" w:name="_Toc517938770"/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632448" w:rsidRPr="00F726EA" w:rsidRDefault="00AD7A7F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1" w:name="_Hlk50975845"/>
      <w:r w:rsidRPr="00F726EA">
        <w:rPr>
          <w:rFonts w:ascii="Times New Roman" w:hAnsi="Times New Roman" w:cs="Times New Roman"/>
          <w:b w:val="0"/>
          <w:sz w:val="24"/>
        </w:rPr>
        <w:t xml:space="preserve">ВРСТА, ТЕХНИЧКЕ КАРАКТЕРИСТИКЕ, </w:t>
      </w:r>
      <w:r w:rsidR="001D28FB" w:rsidRPr="00F726EA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Pr="00F726EA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</w:t>
      </w:r>
      <w:r w:rsidR="007231EA">
        <w:rPr>
          <w:rFonts w:ascii="Times New Roman" w:hAnsi="Times New Roman" w:cs="Times New Roman"/>
          <w:b w:val="0"/>
          <w:sz w:val="24"/>
          <w:lang w:val="sr-Cyrl-RS"/>
        </w:rPr>
        <w:t>СПОРУКЕ</w:t>
      </w:r>
      <w:r w:rsidRPr="00F726EA">
        <w:rPr>
          <w:rFonts w:ascii="Times New Roman" w:hAnsi="Times New Roman" w:cs="Times New Roman"/>
          <w:b w:val="0"/>
          <w:sz w:val="24"/>
        </w:rPr>
        <w:t>, ЕВЕНТУАЛНЕ ДОДАТНЕ УСЛУГЕ И СЛ.</w:t>
      </w:r>
      <w:bookmarkEnd w:id="0"/>
    </w:p>
    <w:p w:rsidR="0056507B" w:rsidRPr="00F726EA" w:rsidRDefault="0056507B" w:rsidP="00523AE3">
      <w:pPr>
        <w:rPr>
          <w:rFonts w:ascii="Times New Roman" w:hAnsi="Times New Roman" w:cs="Times New Roman"/>
          <w:sz w:val="24"/>
          <w:szCs w:val="24"/>
        </w:rPr>
      </w:pPr>
    </w:p>
    <w:p w:rsidR="007231EA" w:rsidRDefault="007231EA" w:rsidP="007231EA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231EA" w:rsidRPr="00D155D5" w:rsidRDefault="007231EA" w:rsidP="007231EA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55D5">
        <w:rPr>
          <w:rFonts w:ascii="Times New Roman" w:hAnsi="Times New Roman"/>
          <w:sz w:val="24"/>
          <w:szCs w:val="24"/>
          <w:lang w:val="sr-Cyrl-RS"/>
        </w:rPr>
        <w:t>Опрема за салу за преводиоце:</w:t>
      </w:r>
    </w:p>
    <w:p w:rsidR="007231EA" w:rsidRPr="00D155D5" w:rsidRDefault="007231EA" w:rsidP="007231EA">
      <w:pPr>
        <w:ind w:left="-15" w:right="53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 w:rsidRPr="00D155D5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</w:t>
      </w:r>
      <w:r w:rsidRPr="00D155D5">
        <w:rPr>
          <w:rFonts w:ascii="Times New Roman" w:hAnsi="Times New Roman"/>
          <w:sz w:val="24"/>
          <w:szCs w:val="24"/>
          <w:lang w:val="sr-Cyrl-RS"/>
        </w:rPr>
        <w:t>Кол.</w:t>
      </w:r>
    </w:p>
    <w:tbl>
      <w:tblPr>
        <w:tblW w:w="1406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079"/>
        <w:gridCol w:w="1843"/>
        <w:gridCol w:w="142"/>
      </w:tblGrid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1.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TX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предајник са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канала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језика</w:t>
            </w:r>
            <w:proofErr w:type="gram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ind w:left="41" w:right="35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P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2.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радијатор са носачем, снаге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25W 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покривање површине од 120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>m</w:t>
            </w:r>
            <w:proofErr w:type="gram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²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 xml:space="preserve">           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3. Преводилачка јединица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пулт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са два пара слушалица са микрофоном, за два преводиоца;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871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4.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бежични пријемник/слушалица: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канала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са заменљивим батеријама од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1,5V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уколико пријемник/слушалица користи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пуњиве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батерије, неопходно је понудити и адекватан 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пуњач који може да пуни све батерије одједном);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60</w:t>
            </w:r>
          </w:p>
          <w:p w:rsidR="002974F4" w:rsidRDefault="002974F4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P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5. Конференцијски систем са 5 стоних  микрофона и централном управљачком јединицом;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6. Бежични ручни микрофони са базном јединицом за оба микрофона или за сваки појединачно;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2</w:t>
            </w:r>
          </w:p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7. Микрофонски сталак за бежични микрофон за говорницу;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43" w:type="dxa"/>
            <w:hideMark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231EA" w:rsidRPr="00D155D5" w:rsidTr="007231EA">
        <w:trPr>
          <w:gridAfter w:val="1"/>
          <w:wAfter w:w="142" w:type="dxa"/>
          <w:trHeight w:val="290"/>
        </w:trPr>
        <w:tc>
          <w:tcPr>
            <w:tcW w:w="12079" w:type="dxa"/>
            <w:hideMark/>
          </w:tcPr>
          <w:p w:rsidR="007231EA" w:rsidRDefault="007231EA" w:rsidP="002974F4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8. Озвучење за просторију површине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120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>m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²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или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4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звучне кутије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Активне или пасивне </w:t>
            </w:r>
          </w:p>
          <w:p w:rsidR="007231EA" w:rsidRDefault="007231EA" w:rsidP="002974F4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Звучне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кутије са адекватним појачалом или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миксетом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са појачалом. Укупна снага озвучења </w:t>
            </w:r>
          </w:p>
          <w:p w:rsidR="007231EA" w:rsidRDefault="007231EA" w:rsidP="002974F4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од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200W.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По могућству зидни носачи за звучне кутије. Пожељно је да носачи и </w:t>
            </w:r>
          </w:p>
          <w:p w:rsidR="007231EA" w:rsidRPr="00D155D5" w:rsidRDefault="007231EA" w:rsidP="002974F4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звучне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кутије буду беле боје;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2 или 4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</w:t>
            </w: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</w:t>
            </w: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7231EA" w:rsidRPr="00D155D5" w:rsidRDefault="007231EA" w:rsidP="007231EA">
            <w:pPr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2 или 4</w:t>
            </w:r>
          </w:p>
        </w:tc>
      </w:tr>
      <w:tr w:rsidR="007231EA" w:rsidRPr="00D155D5" w:rsidTr="007231EA">
        <w:trPr>
          <w:trHeight w:val="1162"/>
        </w:trPr>
        <w:tc>
          <w:tcPr>
            <w:tcW w:w="12079" w:type="dxa"/>
            <w:hideMark/>
          </w:tcPr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9. Уређај за уклањање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микрофоније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;</w:t>
            </w: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Default="007231EA" w:rsidP="007231EA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10. Аудио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миксета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са минимум 6 улаза ( у зависности од понуђених звучних кутија, долази у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</w:t>
            </w:r>
          </w:p>
          <w:p w:rsidR="002974F4" w:rsidRDefault="007231EA" w:rsidP="007231EA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обзир 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миксета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са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појачалом);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</w:t>
            </w:r>
          </w:p>
          <w:p w:rsidR="007231EA" w:rsidRPr="007231EA" w:rsidRDefault="007231EA" w:rsidP="007231EA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</w:tcPr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1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1</w:t>
            </w:r>
          </w:p>
        </w:tc>
      </w:tr>
      <w:tr w:rsidR="007231EA" w:rsidRPr="00D155D5" w:rsidTr="007231EA">
        <w:trPr>
          <w:gridAfter w:val="1"/>
          <w:wAfter w:w="142" w:type="dxa"/>
          <w:trHeight w:val="1162"/>
        </w:trPr>
        <w:tc>
          <w:tcPr>
            <w:tcW w:w="12079" w:type="dxa"/>
          </w:tcPr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11. Аудио дистрибуција са минимално 6 излаза.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1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2974F4" w:rsidRDefault="002974F4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Понуђач је дужан да и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нсталира опрем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под редним бројем 1,2. и 5. у рек 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да повеже опрему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за </w:t>
            </w:r>
          </w:p>
          <w:p w:rsidR="002974F4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симултано превођење са аудио опремом (тачке 6,8,9. и 10.) тако да чине целину, као и 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да повеже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2974F4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аудио де</w:t>
            </w:r>
            <w:r w:rsidR="002974F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са постојећим видео пројекторима у амфитеатру са свим припадајућим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 xml:space="preserve">BNC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и аудио </w:t>
            </w:r>
          </w:p>
          <w:p w:rsidR="007231EA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кабловима.</w:t>
            </w:r>
          </w:p>
          <w:p w:rsidR="007231EA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2974F4" w:rsidRDefault="002974F4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Понуђач је дужан да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обу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чи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техничко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особљ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е које одреди Наручилац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да га </w:t>
            </w:r>
            <w:r w:rsidR="007231E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упозна са техничком </w:t>
            </w:r>
          </w:p>
          <w:p w:rsidR="007231EA" w:rsidRPr="00D155D5" w:rsidRDefault="007231EA" w:rsidP="002974F4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спецификацијом и корисничким упутствима за сваки део система.</w:t>
            </w:r>
          </w:p>
        </w:tc>
        <w:tc>
          <w:tcPr>
            <w:tcW w:w="1843" w:type="dxa"/>
          </w:tcPr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1</w:t>
            </w:r>
          </w:p>
          <w:p w:rsidR="007231EA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7231EA" w:rsidRPr="00D155D5" w:rsidRDefault="007231EA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974F4" w:rsidRPr="00D155D5" w:rsidTr="007231EA">
        <w:trPr>
          <w:gridAfter w:val="1"/>
          <w:wAfter w:w="142" w:type="dxa"/>
          <w:trHeight w:val="1162"/>
        </w:trPr>
        <w:tc>
          <w:tcPr>
            <w:tcW w:w="12079" w:type="dxa"/>
          </w:tcPr>
          <w:p w:rsidR="002974F4" w:rsidRDefault="002974F4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564089" w:rsidRDefault="00564089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564089" w:rsidRDefault="00564089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564089" w:rsidRDefault="00564089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  <w:p w:rsidR="00564089" w:rsidRDefault="00564089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2974F4" w:rsidRDefault="002974F4" w:rsidP="007231E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40B2A" w:rsidRDefault="002974F4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Добра</w:t>
      </w:r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кој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а</w:t>
      </w:r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су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предмет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јавне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набавке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морају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погледу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квалитета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задовољавати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важеће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стандарде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испуњав</w:t>
      </w:r>
      <w:proofErr w:type="spellEnd"/>
      <w:r w:rsidR="00940B2A" w:rsidRPr="000F4287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ти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услове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утврђене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одговарајућим</w:t>
      </w:r>
      <w:proofErr w:type="spellEnd"/>
      <w:r w:rsidR="00940B2A" w:rsidRPr="000F4287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="00940B2A" w:rsidRPr="000F4287">
        <w:rPr>
          <w:rFonts w:ascii="Times New Roman" w:hAnsi="Times New Roman" w:cs="Times New Roman"/>
          <w:sz w:val="24"/>
        </w:rPr>
        <w:t>Законима</w:t>
      </w:r>
      <w:proofErr w:type="spellEnd"/>
      <w:r w:rsidR="00940B2A" w:rsidRPr="000F4287">
        <w:rPr>
          <w:rFonts w:ascii="Times New Roman" w:hAnsi="Times New Roman" w:cs="Times New Roman"/>
          <w:sz w:val="24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  <w:iCs/>
          <w:lang w:val="sr-Cyrl-ME"/>
        </w:rPr>
      </w:pPr>
      <w:r w:rsidRPr="001032D6">
        <w:rPr>
          <w:rFonts w:ascii="Times New Roman" w:hAnsi="Times New Roman" w:cs="Times New Roman"/>
          <w:iCs/>
          <w:lang w:val="sr-Cyrl-ME"/>
        </w:rPr>
        <w:t xml:space="preserve">Наручилац и понуђач записнички ће констатовати да ли су </w:t>
      </w:r>
      <w:r w:rsidR="002974F4">
        <w:rPr>
          <w:rFonts w:ascii="Times New Roman" w:hAnsi="Times New Roman" w:cs="Times New Roman"/>
          <w:iCs/>
          <w:lang w:val="sr-Cyrl-ME"/>
        </w:rPr>
        <w:t>добра</w:t>
      </w:r>
      <w:r w:rsidRPr="001032D6">
        <w:rPr>
          <w:rFonts w:ascii="Times New Roman" w:hAnsi="Times New Roman" w:cs="Times New Roman"/>
          <w:iCs/>
          <w:lang w:val="sr-Cyrl-ME"/>
        </w:rPr>
        <w:t xml:space="preserve"> кој</w:t>
      </w:r>
      <w:r w:rsidR="002974F4">
        <w:rPr>
          <w:rFonts w:ascii="Times New Roman" w:hAnsi="Times New Roman" w:cs="Times New Roman"/>
          <w:iCs/>
          <w:lang w:val="sr-Cyrl-ME"/>
        </w:rPr>
        <w:t>а</w:t>
      </w:r>
      <w:r w:rsidRPr="001032D6">
        <w:rPr>
          <w:rFonts w:ascii="Times New Roman" w:hAnsi="Times New Roman" w:cs="Times New Roman"/>
          <w:iCs/>
          <w:lang w:val="sr-Cyrl-ME"/>
        </w:rPr>
        <w:t xml:space="preserve"> су предмет јавне набавке извршене у складу са Уговором.</w:t>
      </w:r>
    </w:p>
    <w:p w:rsidR="00940B2A" w:rsidRPr="001032D6" w:rsidRDefault="00940B2A" w:rsidP="00940B2A">
      <w:pPr>
        <w:jc w:val="both"/>
        <w:rPr>
          <w:rFonts w:ascii="Times New Roman" w:hAnsi="Times New Roman" w:cs="Times New Roman"/>
        </w:rPr>
      </w:pPr>
    </w:p>
    <w:p w:rsidR="00940B2A" w:rsidRPr="001032D6" w:rsidRDefault="00940B2A" w:rsidP="00940B2A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1032D6">
        <w:rPr>
          <w:rFonts w:ascii="Times New Roman" w:hAnsi="Times New Roman" w:cs="Times New Roman"/>
          <w:u w:val="single"/>
        </w:rPr>
        <w:t>Захтев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1032D6">
        <w:rPr>
          <w:rFonts w:ascii="Times New Roman" w:hAnsi="Times New Roman" w:cs="Times New Roman"/>
          <w:u w:val="single"/>
        </w:rPr>
        <w:t>погледу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рока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важења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понуде</w:t>
      </w:r>
      <w:proofErr w:type="spellEnd"/>
      <w:r w:rsidRPr="001032D6">
        <w:rPr>
          <w:rFonts w:ascii="Times New Roman" w:hAnsi="Times New Roman" w:cs="Times New Roman"/>
          <w:u w:val="single"/>
        </w:rPr>
        <w:t>: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Рок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бити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краћи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30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отварања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понуда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r w:rsidRPr="001032D6">
        <w:rPr>
          <w:rFonts w:ascii="Times New Roman" w:hAnsi="Times New Roman" w:cs="Times New Roman"/>
        </w:rPr>
        <w:t xml:space="preserve">У </w:t>
      </w:r>
      <w:proofErr w:type="spellStart"/>
      <w:r w:rsidRPr="001032D6">
        <w:rPr>
          <w:rFonts w:ascii="Times New Roman" w:hAnsi="Times New Roman" w:cs="Times New Roman"/>
        </w:rPr>
        <w:t>случају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истека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, </w:t>
      </w:r>
      <w:proofErr w:type="spellStart"/>
      <w:r w:rsidRPr="001032D6">
        <w:rPr>
          <w:rFonts w:ascii="Times New Roman" w:hAnsi="Times New Roman" w:cs="Times New Roman"/>
        </w:rPr>
        <w:t>наручилац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је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дужан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</w:t>
      </w:r>
      <w:proofErr w:type="spellEnd"/>
      <w:r w:rsidRPr="001032D6">
        <w:rPr>
          <w:rFonts w:ascii="Times New Roman" w:hAnsi="Times New Roman" w:cs="Times New Roman"/>
        </w:rPr>
        <w:t xml:space="preserve"> у </w:t>
      </w:r>
      <w:proofErr w:type="spellStart"/>
      <w:r w:rsidRPr="001032D6">
        <w:rPr>
          <w:rFonts w:ascii="Times New Roman" w:hAnsi="Times New Roman" w:cs="Times New Roman"/>
        </w:rPr>
        <w:t>писаном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облику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затражи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понуђача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Понуђач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који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прихвати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захтев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мењати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понуду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293368" w:rsidRDefault="00940B2A" w:rsidP="002149B1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7C0A">
        <w:rPr>
          <w:rFonts w:ascii="Times New Roman" w:hAnsi="Times New Roman" w:cs="Times New Roman"/>
          <w:lang w:val="sr-Cyrl-RS"/>
        </w:rPr>
        <w:t>Рок</w:t>
      </w:r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плаћања</w:t>
      </w:r>
      <w:proofErr w:type="spellEnd"/>
      <w:r w:rsidRPr="00EC7C0A">
        <w:rPr>
          <w:rFonts w:ascii="Times New Roman" w:hAnsi="Times New Roman" w:cs="Times New Roman"/>
        </w:rPr>
        <w:t xml:space="preserve">: </w:t>
      </w:r>
      <w:r w:rsidR="002149B1"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ће плаћање извршити у </w:t>
      </w:r>
      <w:r w:rsidR="002149B1">
        <w:rPr>
          <w:rFonts w:ascii="Times New Roman" w:hAnsi="Times New Roman" w:cs="Times New Roman"/>
          <w:sz w:val="24"/>
          <w:szCs w:val="24"/>
          <w:lang w:val="sr-Cyrl-CS"/>
        </w:rPr>
        <w:t xml:space="preserve">два дела и то: аванс у износу од 50% уговорене цене у </w:t>
      </w:r>
      <w:r w:rsidR="002149B1"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2149B1">
        <w:rPr>
          <w:rFonts w:ascii="Times New Roman" w:hAnsi="Times New Roman" w:cs="Times New Roman"/>
          <w:sz w:val="24"/>
          <w:szCs w:val="24"/>
          <w:lang w:val="sr-Cyrl-CS"/>
        </w:rPr>
        <w:t xml:space="preserve">не краћем </w:t>
      </w:r>
      <w:r w:rsidR="002149B1"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149B1">
        <w:rPr>
          <w:rFonts w:ascii="Times New Roman" w:hAnsi="Times New Roman" w:cs="Times New Roman"/>
          <w:sz w:val="24"/>
          <w:szCs w:val="24"/>
          <w:lang w:val="sr-Cyrl-CS"/>
        </w:rPr>
        <w:t xml:space="preserve">15 </w:t>
      </w:r>
      <w:r w:rsidR="002149B1" w:rsidRPr="00C904E0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2149B1" w:rsidRPr="00C904E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2149B1"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 w:rsidR="002149B1">
        <w:rPr>
          <w:rFonts w:ascii="Times New Roman" w:hAnsi="Times New Roman" w:cs="Times New Roman"/>
          <w:sz w:val="24"/>
          <w:szCs w:val="24"/>
          <w:lang w:val="sr-Cyrl-CS"/>
        </w:rPr>
        <w:t>закљученог уговора, а други део у износу од 50% у року не краћем од 15 дана од дана испоруке опреме, пуштања у рад као и извршене обуке на начин како је захтевано конкурсном документацијом</w:t>
      </w:r>
    </w:p>
    <w:p w:rsidR="00293368" w:rsidRPr="002149B1" w:rsidRDefault="002149B1" w:rsidP="00D62FB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Рок испоруке:</w:t>
      </w:r>
      <w:r w:rsidRPr="002149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Рок испоруке добара која су предмет набавке је 45 дана од дана потписи</w:t>
      </w:r>
      <w:r w:rsidR="008C2F00">
        <w:rPr>
          <w:rFonts w:ascii="Times New Roman" w:hAnsi="Times New Roman" w:cs="Times New Roman"/>
          <w:sz w:val="24"/>
          <w:szCs w:val="24"/>
          <w:lang w:val="sr-Cyrl-CS"/>
        </w:rPr>
        <w:t xml:space="preserve">вања уговора </w:t>
      </w:r>
      <w:bookmarkStart w:id="2" w:name="_Hlk52353732"/>
      <w:r w:rsidR="008C2F00">
        <w:rPr>
          <w:rFonts w:ascii="Times New Roman" w:hAnsi="Times New Roman" w:cs="Times New Roman"/>
          <w:sz w:val="24"/>
          <w:szCs w:val="24"/>
          <w:lang w:val="sr-Cyrl-CS"/>
        </w:rPr>
        <w:t>обе уговорне стране</w:t>
      </w:r>
      <w:bookmarkEnd w:id="2"/>
      <w:r w:rsidR="008C2F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3368" w:rsidRDefault="008C2F00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Гарантни рок је у складу са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произвођачком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гаранцијом и траје минимум </w:t>
      </w:r>
      <w:r w:rsidR="007F6693">
        <w:rPr>
          <w:rFonts w:ascii="Times New Roman" w:hAnsi="Times New Roman" w:cs="Times New Roman"/>
          <w:sz w:val="24"/>
          <w:szCs w:val="24"/>
          <w:lang w:val="sr-Cyrl-CS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7F6693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Pr="008C2F00" w:rsidRDefault="00293368" w:rsidP="00D62FB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8C2F00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КРИТЕРИЈУМИ ЗА КВАЛИТАТИВНИ ИЗБОР ПРИВРЕДНОГ СУБЈЕКТА И УПУТСТВО КАКО СЕ ДОКАЗУЈЕ ИСПУЊЕНОСТ КРИТЕРИЈУМА</w:t>
      </w:r>
    </w:p>
    <w:p w:rsidR="00096227" w:rsidRPr="0004566D" w:rsidRDefault="00096227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9974F2" w:rsidRDefault="009974F2" w:rsidP="009974F2">
      <w:pPr>
        <w:ind w:hanging="3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96227" w:rsidRPr="009974F2">
        <w:rPr>
          <w:rFonts w:ascii="Times New Roman" w:hAnsi="Times New Roman" w:cs="Times New Roman"/>
          <w:sz w:val="24"/>
          <w:szCs w:val="24"/>
          <w:lang w:val="sr-Cyrl-CS"/>
        </w:rPr>
        <w:t>Основи за искључење</w:t>
      </w:r>
    </w:p>
    <w:p w:rsidR="00096227" w:rsidRPr="0004566D" w:rsidRDefault="00096227" w:rsidP="00096227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8C2F00" w:rsidRDefault="00096227" w:rsidP="0004566D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F00">
        <w:rPr>
          <w:rFonts w:ascii="Times New Roman" w:hAnsi="Times New Roman" w:cs="Times New Roman"/>
          <w:b/>
          <w:sz w:val="24"/>
          <w:szCs w:val="24"/>
          <w:lang w:val="sr-Cyrl-CS"/>
        </w:rPr>
        <w:t>Правоснажна судска пресуда за једно или више кривичних дела</w:t>
      </w:r>
    </w:p>
    <w:bookmarkEnd w:id="1"/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;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564089" w:rsidRPr="0004566D" w:rsidRDefault="00564089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: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2, 3, 4, 6, 8 и 9) </w:t>
      </w:r>
      <w:r w:rsidR="002D394C" w:rsidRPr="000456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</w:t>
      </w:r>
      <w:r w:rsidR="009974F2">
        <w:rPr>
          <w:rFonts w:ascii="Times New Roman" w:hAnsi="Times New Roman" w:cs="Times New Roman"/>
          <w:sz w:val="24"/>
          <w:szCs w:val="24"/>
        </w:rPr>
        <w:t>блике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390.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>. 1 и 2).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прибављене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1.500.000,00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1, 5 и 7);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окривљени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постављења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Врховног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касационог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200.000.000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Краљеву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МУП-а,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донесеном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8C2F00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F00">
        <w:rPr>
          <w:rFonts w:ascii="Times New Roman" w:hAnsi="Times New Roman" w:cs="Times New Roman"/>
          <w:b/>
          <w:sz w:val="24"/>
          <w:szCs w:val="24"/>
        </w:rPr>
        <w:t>Порези</w:t>
      </w:r>
      <w:proofErr w:type="spellEnd"/>
      <w:r w:rsidRPr="008C2F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2F00"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 w:rsidRPr="008C2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00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089" w:rsidRDefault="00564089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564089" w:rsidRDefault="00564089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8C2F00" w:rsidRDefault="008C2F00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8C2F00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Pr="0004566D" w:rsidRDefault="009974F2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и 2),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означио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ИЗВРШИО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59. </w:t>
      </w:r>
    </w:p>
    <w:p w:rsidR="00274081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089" w:rsidRPr="0004566D" w:rsidRDefault="00564089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EC620A" w:rsidRDefault="002D394C" w:rsidP="00EC620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lastRenderedPageBreak/>
        <w:t>Сукоб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81" w:rsidRPr="00EC620A" w:rsidRDefault="002D394C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0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Непримерен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покушао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непримерен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обмањујуће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D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Default="002D394C" w:rsidP="00045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B" w:rsidRDefault="0040036B" w:rsidP="00045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36B" w:rsidRPr="0040036B" w:rsidRDefault="0040036B" w:rsidP="0004566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складу са чланом 119. став 3. ЗЈН наручилац пре доношења одлуке у поступку јавне набавке може да затражи од понуђача да доставе све доказе </w:t>
      </w:r>
      <w:proofErr w:type="spellStart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оло</w:t>
      </w:r>
      <w:proofErr w:type="spellEnd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део доказа о испуњености критеријума за квалитативни избор </w:t>
      </w:r>
      <w:proofErr w:type="spellStart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привреднохг</w:t>
      </w:r>
      <w:proofErr w:type="spellEnd"/>
      <w:r w:rsidRPr="0040036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субјекта ради провере података наведених у изјави о испуњености критеријума, ако је то потребно за правилно спровођење поступка.</w:t>
      </w:r>
    </w:p>
    <w:p w:rsidR="003D2C05" w:rsidRDefault="003D2C05" w:rsidP="00DA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0" w:rsidRPr="00BB6FCD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ПОДАЦИ О ЈЕЗИКУ НА КОЈЕМ ПОНУДА МОРА ДА БУДЕ САСТАВЉЕНА</w:t>
      </w:r>
    </w:p>
    <w:p w:rsidR="00B17CA9" w:rsidRPr="00F83EAE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НА КОЈИ ПОНУДА МОРА ДА БУДЕ САЧИЊЕНА</w:t>
      </w:r>
    </w:p>
    <w:p w:rsidR="00B17CA9" w:rsidRPr="00F83EAE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F83EAE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</w:t>
      </w:r>
      <w:r w:rsidR="007F71C1" w:rsidRPr="00F83EAE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>.</w:t>
      </w:r>
    </w:p>
    <w:p w:rsidR="00DB1819" w:rsidRPr="00F83EAE" w:rsidRDefault="00DB1819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на Порталу УЈН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F83EAE">
        <w:rPr>
          <w:rFonts w:ascii="Times New Roman" w:hAnsi="Times New Roman" w:cs="Times New Roman"/>
          <w:sz w:val="24"/>
          <w:szCs w:val="24"/>
        </w:rPr>
        <w:t>20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10</w:t>
      </w:r>
      <w:r w:rsidRPr="00F83EAE">
        <w:rPr>
          <w:rFonts w:ascii="Times New Roman" w:hAnsi="Times New Roman" w:cs="Times New Roman"/>
          <w:sz w:val="24"/>
          <w:szCs w:val="24"/>
        </w:rPr>
        <w:t>:30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0D0386" w:rsidRPr="00F83EAE" w:rsidRDefault="000D0386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Понуда се подноси електронским средствима путем Портала јавних набавки.</w:t>
      </w:r>
    </w:p>
    <w:p w:rsidR="00295042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F726EA" w:rsidRDefault="00632448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CA5" w:rsidRPr="008C2F00" w:rsidRDefault="008D08E8" w:rsidP="00095BD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2F0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3. </w:t>
      </w:r>
      <w:r w:rsidR="00594CA5" w:rsidRPr="008C2F00">
        <w:rPr>
          <w:rFonts w:ascii="Times New Roman" w:hAnsi="Times New Roman" w:cs="Times New Roman"/>
          <w:bCs/>
          <w:i/>
          <w:sz w:val="24"/>
          <w:szCs w:val="24"/>
        </w:rPr>
        <w:t>ПОДАЦИ О ОБАВЕЗНОЈ САДРЖИНИ ПОНУДЕ</w:t>
      </w:r>
    </w:p>
    <w:p w:rsidR="00594CA5" w:rsidRPr="00F2505E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8B2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Понуђач </w:t>
      </w:r>
      <w:r w:rsidR="0056408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опуњава на Порталу УЈН</w:t>
      </w:r>
      <w:r w:rsidRPr="004628B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94CA5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4C">
        <w:rPr>
          <w:rFonts w:ascii="Times New Roman" w:hAnsi="Times New Roman" w:cs="Times New Roman"/>
          <w:sz w:val="24"/>
          <w:szCs w:val="24"/>
        </w:rPr>
        <w:t>по</w:t>
      </w:r>
      <w:r w:rsidR="00F726EA">
        <w:rPr>
          <w:rFonts w:ascii="Times New Roman" w:hAnsi="Times New Roman" w:cs="Times New Roman"/>
          <w:sz w:val="24"/>
          <w:szCs w:val="24"/>
        </w:rPr>
        <w:t>пуњен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56408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CA6D4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56408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7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6D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о испуњености критеријума за </w:t>
      </w:r>
      <w:proofErr w:type="spellStart"/>
      <w:r w:rsidR="00F726EA">
        <w:rPr>
          <w:rFonts w:ascii="Times New Roman" w:hAnsi="Times New Roman" w:cs="Times New Roman"/>
          <w:sz w:val="24"/>
          <w:szCs w:val="24"/>
          <w:lang w:val="sr-Cyrl-CS"/>
        </w:rPr>
        <w:t>квалитатовни</w:t>
      </w:r>
      <w:proofErr w:type="spellEnd"/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 избор привредног субјекта</w:t>
      </w:r>
      <w:r w:rsidR="00940B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0B2A">
        <w:rPr>
          <w:rFonts w:ascii="Times New Roman" w:hAnsi="Times New Roman" w:cs="Times New Roman"/>
          <w:sz w:val="24"/>
          <w:szCs w:val="24"/>
          <w:lang w:val="sr-Cyrl-RS"/>
        </w:rPr>
        <w:t>и докази за додатне услове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</w:t>
      </w:r>
      <w:r w:rsidR="00F726EA">
        <w:rPr>
          <w:rFonts w:ascii="Times New Roman" w:hAnsi="Times New Roman" w:cs="Times New Roman"/>
          <w:sz w:val="24"/>
          <w:szCs w:val="24"/>
        </w:rPr>
        <w:t>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564089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CA6D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3606CE" w:rsidRPr="008C2F00" w:rsidRDefault="000A028A" w:rsidP="000F42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564089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C2F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304" w:rsidRPr="005A720E" w:rsidRDefault="00B20304" w:rsidP="00A232F6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ПОНУДА СА ВАРИЈАНТАМА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940B2A" w:rsidRPr="00F83EAE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ИЗМЕНЕ, ДОПУНЕ И ОПОЗИВА ПОНУДЕ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0D0386" w:rsidRPr="00F83EAE" w:rsidRDefault="008D6227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r w:rsidR="000D0386" w:rsidRPr="00F83EAE">
        <w:rPr>
          <w:rFonts w:ascii="Times New Roman" w:hAnsi="Times New Roman" w:cs="Times New Roman"/>
          <w:sz w:val="24"/>
          <w:szCs w:val="24"/>
          <w:lang w:val="sr-Cyrl-RS"/>
        </w:rPr>
        <w:t>Понуђач може да поднесе само једну понуду.</w:t>
      </w:r>
    </w:p>
    <w:p w:rsidR="000D0386" w:rsidRPr="00F83EAE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У року за подношење понуда понуђач може да измени, допуни или опозове своју понуду, на начин на који је поднео основну понуду.</w:t>
      </w:r>
    </w:p>
    <w:p w:rsidR="00F83EAE" w:rsidRPr="000F4287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Понуду може да подносе група понуђача као заједничку понуду.</w:t>
      </w:r>
    </w:p>
    <w:p w:rsidR="008F0962" w:rsidRPr="00BB6FCD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0F4287" w:rsidRDefault="008D6227" w:rsidP="00DB2569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ОТВАРАЊЕ ПОНУДА</w:t>
      </w:r>
    </w:p>
    <w:p w:rsidR="008F0962" w:rsidRPr="000F4287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3A59D7" w:rsidRDefault="008D6227" w:rsidP="008D62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C2F00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0F4287">
        <w:rPr>
          <w:rFonts w:ascii="Times New Roman" w:hAnsi="Times New Roman" w:cs="Times New Roman"/>
          <w:sz w:val="24"/>
          <w:szCs w:val="24"/>
        </w:rPr>
        <w:t>20</w:t>
      </w:r>
      <w:r w:rsidR="00885C8B" w:rsidRPr="000F42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A7688"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0F42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0F4287">
        <w:rPr>
          <w:rFonts w:ascii="Times New Roman" w:hAnsi="Times New Roman" w:cs="Times New Roman"/>
          <w:sz w:val="24"/>
          <w:szCs w:val="24"/>
        </w:rPr>
        <w:t xml:space="preserve"> у 1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0F4287">
        <w:rPr>
          <w:rFonts w:ascii="Times New Roman" w:hAnsi="Times New Roman" w:cs="Times New Roman"/>
          <w:sz w:val="24"/>
          <w:szCs w:val="24"/>
        </w:rPr>
        <w:t>: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0F428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, </w:t>
      </w:r>
      <w:r w:rsidR="003A59D7" w:rsidRPr="000F4287">
        <w:rPr>
          <w:rFonts w:ascii="Times New Roman" w:hAnsi="Times New Roman" w:cs="Times New Roman"/>
          <w:sz w:val="24"/>
          <w:szCs w:val="24"/>
          <w:lang w:val="sr-Cyrl-RS"/>
        </w:rPr>
        <w:t>на Порталу УЈН.</w:t>
      </w:r>
    </w:p>
    <w:p w:rsidR="00EE1B27" w:rsidRPr="00BB6FCD" w:rsidRDefault="008D6227" w:rsidP="009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УЧЕСТВОВАЊЕ У ЗАЈЕДНИЧКОЈ ПОНУДИ ИЛИ КАО ПОДИЗВОЂАЧ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D6227" w:rsidRPr="00BB6FCD" w:rsidRDefault="008D6227" w:rsidP="000F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Default="008C2F00" w:rsidP="008C2F00">
      <w:pPr>
        <w:ind w:left="-1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19176484"/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8. </w:t>
      </w:r>
      <w:r w:rsidR="007A285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СРЕДСТВА </w:t>
      </w:r>
      <w:r w:rsidR="00F82DC8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ФИНАНСИЈСКОГ </w:t>
      </w:r>
      <w:r w:rsidR="007A285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ОБЕЗБЕЂЕЊА </w:t>
      </w:r>
      <w:r w:rsidR="0038246A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AA22F1" w:rsidRPr="008C2F0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14362" w:rsidRPr="008C2F00">
        <w:rPr>
          <w:rFonts w:ascii="Times New Roman" w:hAnsi="Times New Roman" w:cs="Times New Roman"/>
          <w:i/>
          <w:sz w:val="24"/>
          <w:szCs w:val="24"/>
        </w:rPr>
        <w:t xml:space="preserve">ПОДАЦИ О ВРСТИ, САДРЖИНИ, НАЧИНУ ПОДНОШЕЊА, ВИСИНИ И РОКОВИМА ОБЕЗБЕЂЕЊА </w:t>
      </w:r>
      <w:bookmarkEnd w:id="3"/>
    </w:p>
    <w:p w:rsidR="00391325" w:rsidRDefault="00391325" w:rsidP="008C2F00">
      <w:pPr>
        <w:ind w:left="-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Понуђач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повраћај аванса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40036B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повраћај аванса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7F6693" w:rsidRPr="00C904E0" w:rsidRDefault="007F6693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91325" w:rsidRPr="00C904E0" w:rsidRDefault="00391325" w:rsidP="0039132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гарантног рока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391325" w:rsidRPr="00C904E0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391325" w:rsidRDefault="00391325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564089" w:rsidRPr="00C904E0" w:rsidRDefault="00564089" w:rsidP="003913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B2CE1" w:rsidRDefault="008B2CE1" w:rsidP="00391325">
      <w:pPr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FC3F37" w:rsidRPr="001032D6" w:rsidRDefault="00FC3F37" w:rsidP="00391325">
      <w:pPr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632448" w:rsidRPr="00C17255" w:rsidRDefault="00C61E1C" w:rsidP="00DB25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9</w:t>
      </w:r>
      <w:r w:rsidR="0082711D" w:rsidRPr="00C1725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4" w:name="_Hlk50975959"/>
      <w:r w:rsidR="00AD7A7F" w:rsidRPr="00C17255">
        <w:rPr>
          <w:rFonts w:ascii="Times New Roman" w:hAnsi="Times New Roman" w:cs="Times New Roman"/>
          <w:i/>
          <w:sz w:val="24"/>
          <w:szCs w:val="24"/>
        </w:rPr>
        <w:t>ВРСТА КРИТЕРИЈУМА ЗА ДОДЕЛУ УГОВОРА</w:t>
      </w:r>
    </w:p>
    <w:p w:rsidR="006A6477" w:rsidRPr="00C17255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Pr="00C17255">
        <w:rPr>
          <w:rFonts w:ascii="Times New Roman" w:hAnsi="Times New Roman" w:cs="Times New Roman"/>
          <w:bCs/>
          <w:sz w:val="24"/>
          <w:szCs w:val="24"/>
        </w:rPr>
        <w:t>„</w:t>
      </w:r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Економски најповољнија </w:t>
      </w:r>
      <w:proofErr w:type="gramStart"/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>понуда</w:t>
      </w:r>
      <w:r w:rsidRPr="00C17255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="007F1157">
        <w:rPr>
          <w:rFonts w:ascii="Times New Roman" w:hAnsi="Times New Roman" w:cs="Times New Roman"/>
          <w:bCs/>
          <w:sz w:val="24"/>
          <w:szCs w:val="24"/>
          <w:lang w:val="sr-Cyrl-RS"/>
        </w:rPr>
        <w:t>, где ја као критеријум одређена најнижа понуђена цена</w:t>
      </w:r>
      <w:r w:rsidRPr="00C172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две или више понуда буду имале исту понуђену цену, биће изабрана понуда понуђача који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краћи рок испоруке.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10. ИЗМЕНЕ, ДОПУНЕ И ДОДАТНА ПОЈАШЊЕЊА ДОКУМЕНТАЦИЈЕ О НАБАВЦИ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Ако наручилац у року за подношење понуда измени или допуни конкурсну документацију о набавци, дужан је да без одлагања измене или допуне пошаље на објављивање на Портал јавних </w:t>
      </w:r>
      <w:r w:rsidR="007D28BF">
        <w:rPr>
          <w:rFonts w:ascii="Times New Roman" w:hAnsi="Times New Roman" w:cs="Times New Roman"/>
          <w:bCs/>
          <w:sz w:val="24"/>
          <w:szCs w:val="24"/>
          <w:lang w:val="sr-Cyrl-RS"/>
        </w:rPr>
        <w:t>набавки.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је дужан да продужи рок за подношење понуда у случају да: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1) додатне информације или појашњења у вези са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набвкама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нису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стваљена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располагање у року од шестог дана пре истека рока за подношење понуда;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2) документација о набавци је битно измењена;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3) Портал јавних набавки није био доступан у току периода од четири сата пре истека рока за подношење понуда.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из горе наведеног, Наручилац је дужан да продужи рок за подношење понуда за најмање четири дана.</w:t>
      </w:r>
    </w:p>
    <w:p w:rsidR="007D28BF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 продужењу рока Наручилац објављује исправку – обавештење о изменама или додатне информације.</w:t>
      </w:r>
    </w:p>
    <w:p w:rsidR="00FC7201" w:rsidRPr="00C61E1C" w:rsidRDefault="007D28BF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По истеку рока за подношење понуда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наурчилац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може да мења нити 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подуњује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документацију о набавци.</w:t>
      </w:r>
    </w:p>
    <w:p w:rsidR="00C61E1C" w:rsidRDefault="00C61E1C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 w:rsid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</w:t>
      </w:r>
      <w:r w:rsidRPr="00C61E1C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. ДОДАТНА ОБЈАШЊЕЊА, КОНТРОЛА И ДОПУШТЕНЕ ИСПРАВКЕ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Наручилац може да захтева додатна појашњења која ће му помоћи пре прегледу, вредновању и упоређивању понуда, а може да врши контролу (увид) код понуђача.</w:t>
      </w:r>
    </w:p>
    <w:p w:rsidR="00C61E1C" w:rsidRDefault="00C61E1C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Ако су </w:t>
      </w:r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подаци или </w:t>
      </w:r>
      <w:proofErr w:type="spellStart"/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>докуметација</w:t>
      </w:r>
      <w:proofErr w:type="spellEnd"/>
      <w:r w:rsidR="00FC7201">
        <w:rPr>
          <w:rFonts w:ascii="Times New Roman" w:hAnsi="Times New Roman" w:cs="Times New Roman"/>
          <w:bCs/>
          <w:sz w:val="24"/>
          <w:szCs w:val="24"/>
          <w:lang w:val="sr-Cyrl-RS"/>
        </w:rPr>
        <w:t>, коју је понуђач доставио непотпуни или нејасни, наручилац може, поштујући начела једнакости и транспарентности, у примереном року који није краћи од 5 дана, да захтева од понуђача да достави неопходне информације или додатну документацију.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5 дана од дана пријема захтева.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Ако се наручилац не сагласи са исправком рачунске грешке, наручилац ће његову понуду одбити.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 случају разлике између јединичне и укупне цене, меродавна је јединична цена.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FC7201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12. НЕУОБИЧАЈЕНО НИСКА ПОНУДА</w:t>
      </w:r>
    </w:p>
    <w:p w:rsidR="00FC7201" w:rsidRDefault="00FC7201" w:rsidP="00C61E1C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p w:rsidR="00C3276B" w:rsidRDefault="00FC7201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 наручилац процени да је понуда неуобичајено ниска, односно да значајно одступа у односу на тржишну и изазива сумњу у могућност извршења јавне набавке у складу са захтевима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предвиђеним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документацији о набавци,  дужан је да захтева од понуђача да, у </w:t>
      </w:r>
      <w:r w:rsidR="003B0DE3">
        <w:rPr>
          <w:rFonts w:ascii="Times New Roman" w:hAnsi="Times New Roman" w:cs="Times New Roman"/>
          <w:bCs/>
          <w:sz w:val="24"/>
          <w:szCs w:val="24"/>
          <w:lang w:val="sr-Cyrl-RS"/>
        </w:rPr>
        <w:t>примереном року, образложи цену у понуди.</w:t>
      </w:r>
      <w:bookmarkEnd w:id="4"/>
    </w:p>
    <w:p w:rsidR="00564089" w:rsidRDefault="00564089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64089" w:rsidRDefault="00564089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64089" w:rsidRDefault="00564089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64089" w:rsidRPr="0040036B" w:rsidRDefault="00564089" w:rsidP="0040036B">
      <w:pPr>
        <w:widowControl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13. УВИД У ДОКУМЕНТАЦИЈУ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B0DE3" w:rsidRPr="003B0DE3" w:rsidRDefault="003B0DE3" w:rsidP="00DB2569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Након објављивања Одлуке о додели уговора наручилац је дужан да у року од 2 (два) дана од дана пријема писаног захтева, привредном субјекту који је поднео понуду у поступку јавне набавке, омогући преузимање документације на одговарајући начин.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DE3" w:rsidRPr="00606866" w:rsidRDefault="003B0DE3" w:rsidP="003B0DE3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3916DA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606866">
        <w:rPr>
          <w:rFonts w:ascii="Times New Roman" w:hAnsi="Times New Roman" w:cs="Times New Roman"/>
          <w:i/>
          <w:sz w:val="24"/>
          <w:szCs w:val="24"/>
        </w:rPr>
        <w:t>. РОК У КОЈЕМ ЋЕ УГОВОР БИТИ ЗАКЉУЧЕН</w:t>
      </w: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року од 10 дана од истека</w:t>
      </w:r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B0DE3" w:rsidRPr="004A5998" w:rsidRDefault="003B0DE3" w:rsidP="003B0DE3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59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4A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A5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3B0DE3" w:rsidRDefault="003B0DE3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Default="008F19E5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3916DA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="00C3276B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РОК ЗА ПОДНОШЕЊЕ ЗАХТЕВА ЗА ЗАШТИТУ ПРАВА ПОНУЂАЧА</w:t>
      </w:r>
    </w:p>
    <w:p w:rsidR="0080582F" w:rsidRDefault="0080582F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82F" w:rsidRPr="0080582F" w:rsidRDefault="0080582F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одређивањем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допуњава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изношењем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3F2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97.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3916DA" w:rsidRDefault="004E1E30" w:rsidP="0056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217. ЗЈН.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означеним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lastRenderedPageBreak/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225. ЗЈН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4E1E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41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 186. - 234. ЗЈН</w:t>
      </w:r>
      <w:r w:rsidR="003B0D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0DE3" w:rsidRDefault="003B0DE3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0AE" w:rsidRPr="003916DA" w:rsidRDefault="00C130A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4E1E30" w:rsidRDefault="004E1E30" w:rsidP="003E66B4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1</w:t>
      </w:r>
      <w:r w:rsidR="0040036B">
        <w:rPr>
          <w:rFonts w:ascii="Times New Roman" w:hAnsi="Times New Roman" w:cs="Times New Roman"/>
          <w:i/>
          <w:sz w:val="24"/>
          <w:szCs w:val="24"/>
          <w:lang w:val="sr-Cyrl-RS"/>
        </w:rPr>
        <w:t>6</w:t>
      </w:r>
      <w:r w:rsidR="003E66B4"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4E1E30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3E66B4" w:rsidRPr="00A12A13" w:rsidRDefault="003E66B4" w:rsidP="00A12A1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E66B4" w:rsidRPr="00A12A13" w:rsidSect="002974F4">
          <w:pgSz w:w="11907" w:h="16839" w:code="9"/>
          <w:pgMar w:top="993" w:right="1080" w:bottom="1440" w:left="1080" w:header="0" w:footer="917" w:gutter="0"/>
          <w:cols w:space="720"/>
          <w:docGrid w:linePitch="299"/>
        </w:sectPr>
      </w:pPr>
      <w:r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916DA">
        <w:rPr>
          <w:rFonts w:ascii="Times New Roman" w:hAnsi="Times New Roman" w:cs="Times New Roman"/>
          <w:sz w:val="24"/>
          <w:szCs w:val="24"/>
          <w:lang w:val="sr-Cyrl-RS"/>
        </w:rPr>
        <w:t xml:space="preserve">Божидар </w:t>
      </w:r>
      <w:proofErr w:type="spellStart"/>
      <w:r w:rsidR="003916DA">
        <w:rPr>
          <w:rFonts w:ascii="Times New Roman" w:hAnsi="Times New Roman" w:cs="Times New Roman"/>
          <w:sz w:val="24"/>
          <w:szCs w:val="24"/>
          <w:lang w:val="sr-Cyrl-RS"/>
        </w:rPr>
        <w:t>Фекоња</w:t>
      </w:r>
      <w:proofErr w:type="spellEnd"/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916DA">
        <w:rPr>
          <w:rFonts w:ascii="Times New Roman" w:hAnsi="Times New Roman" w:cs="Times New Roman"/>
          <w:sz w:val="24"/>
          <w:szCs w:val="24"/>
          <w:lang w:val="sr-Latn-RS"/>
        </w:rPr>
        <w:t>bozidar.fekonja</w:t>
      </w:r>
      <w:proofErr w:type="spellEnd"/>
      <w:r w:rsidR="00606866" w:rsidRPr="004E1E30">
        <w:rPr>
          <w:rFonts w:ascii="Times New Roman" w:hAnsi="Times New Roman" w:cs="Times New Roman"/>
          <w:sz w:val="24"/>
          <w:szCs w:val="24"/>
          <w:lang w:val="en-GB"/>
        </w:rPr>
        <w:t>@napa.gov.rs.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МОДЕЛ </w:t>
      </w:r>
      <w:r w:rsidRPr="00C904E0">
        <w:rPr>
          <w:rFonts w:ascii="Times New Roman" w:hAnsi="Times New Roman" w:cs="Times New Roman"/>
          <w:sz w:val="24"/>
          <w:szCs w:val="24"/>
        </w:rPr>
        <w:t>У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</w:p>
    <w:p w:rsidR="00A12A13" w:rsidRPr="00BA4E6D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ОПРЕМА ЗА САЛУ ЗА ПРЕВОДИОЦЕ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12A13" w:rsidRPr="00C904E0" w:rsidRDefault="00A12A13" w:rsidP="00A12A13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Национална академија за јавну управу, Булевар Михајла Пупина број 2, пословни простор Војводе Степе</w:t>
      </w:r>
      <w:r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51, Београд, матични број: 17910892, ПИБ: 110464012, које заступа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п.о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. директор Дејан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Ракетић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(у даљем тексту: Наручилац), и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12A13" w:rsidRPr="00C904E0" w:rsidRDefault="00A12A13" w:rsidP="00A12A13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r w:rsidRPr="00C904E0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je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C904E0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(у даљем тексту: </w:t>
      </w: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Понуђач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)</w:t>
      </w:r>
    </w:p>
    <w:p w:rsidR="00A12A13" w:rsidRPr="00C904E0" w:rsidRDefault="00A12A13" w:rsidP="00A12A13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C904E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12A13" w:rsidRPr="00C904E0" w:rsidRDefault="00A12A13" w:rsidP="00A12A13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а је Наручилац на основу Закона о јавним набавкама („Службени гласник РС“,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904E0">
        <w:rPr>
          <w:rFonts w:ascii="Times New Roman" w:hAnsi="Times New Roman" w:cs="Times New Roman"/>
          <w:sz w:val="24"/>
          <w:szCs w:val="24"/>
          <w:lang w:val="sr-Latn-RS"/>
        </w:rPr>
        <w:t>/19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), спровео отворени поступак јавне набавке за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Опреме за салу за преводиоце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, ЈН 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Одлуке о покретању поступка број: </w:t>
      </w:r>
      <w:r w:rsidRPr="00C904E0">
        <w:rPr>
          <w:rFonts w:ascii="Times New Roman" w:eastAsia="Times New Roman" w:hAnsi="Times New Roman"/>
          <w:sz w:val="24"/>
          <w:szCs w:val="24"/>
          <w:lang w:val="sr-Latn-RS"/>
        </w:rPr>
        <w:t>404-02-</w:t>
      </w:r>
      <w:r w:rsidRPr="00A12A13">
        <w:rPr>
          <w:rFonts w:ascii="Times New Roman" w:eastAsia="Times New Roman" w:hAnsi="Times New Roman"/>
          <w:sz w:val="24"/>
          <w:szCs w:val="24"/>
          <w:lang w:val="sr-Latn-RS"/>
        </w:rPr>
        <w:t>34/20</w:t>
      </w:r>
      <w:r w:rsidRPr="00A12A13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A12A13">
        <w:rPr>
          <w:rFonts w:ascii="Times New Roman" w:eastAsia="Times New Roman" w:hAnsi="Times New Roman"/>
          <w:sz w:val="24"/>
          <w:szCs w:val="24"/>
          <w:lang w:val="sr-Latn-RS"/>
        </w:rPr>
        <w:t>-05</w:t>
      </w:r>
      <w:r w:rsidRPr="00C904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. септембра 2020. године.  </w:t>
      </w:r>
    </w:p>
    <w:p w:rsidR="00A12A13" w:rsidRPr="00C904E0" w:rsidRDefault="00A12A13" w:rsidP="00A12A13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A12A13" w:rsidRPr="00C904E0" w:rsidRDefault="00A12A13" w:rsidP="00A12A13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Да је Наручилац Одлуком о додели уговора број (попуњава Наручилац), доделио Понуђачу уговор за јавну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опреме за салу за преводиоце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2A13" w:rsidRPr="00C904E0" w:rsidRDefault="00A12A13" w:rsidP="00A12A13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1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4E0">
        <w:rPr>
          <w:rFonts w:ascii="Times New Roman" w:hAnsi="Times New Roman" w:cs="Times New Roman"/>
          <w:sz w:val="24"/>
          <w:szCs w:val="24"/>
        </w:rPr>
        <w:t>РС“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>91</w:t>
      </w:r>
      <w:proofErr w:type="gramEnd"/>
      <w:r w:rsidRPr="00C904E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Pr="00C904E0">
        <w:rPr>
          <w:rFonts w:ascii="Times New Roman" w:hAnsi="Times New Roman" w:cs="Times New Roman"/>
          <w:sz w:val="24"/>
          <w:szCs w:val="24"/>
        </w:rPr>
        <w:t>);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A13" w:rsidRPr="00C904E0" w:rsidRDefault="00A12A13" w:rsidP="00A12A13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овог уговора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опреме за салу за преводиоце</w:t>
      </w:r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 xml:space="preserve">у свему у складу са конкурсном документацијом, Спецификацијом услуга и Понудом </w:t>
      </w:r>
      <w:r>
        <w:rPr>
          <w:rFonts w:ascii="Times New Roman" w:hAnsi="Times New Roman" w:cs="Times New Roman"/>
          <w:sz w:val="24"/>
          <w:szCs w:val="24"/>
          <w:lang w:val="ru-RU"/>
        </w:rPr>
        <w:t>понуђача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>, број _____ од __</w:t>
      </w:r>
      <w:r w:rsidRPr="00C904E0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0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A13" w:rsidRPr="00C904E0" w:rsidRDefault="00A12A13" w:rsidP="00A12A13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A13" w:rsidRPr="00C904E0" w:rsidRDefault="00A12A13" w:rsidP="00A12A13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C904E0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C904E0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A12A13" w:rsidRPr="00C904E0" w:rsidRDefault="00A12A13" w:rsidP="00A12A13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C904E0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C904E0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C904E0">
        <w:rPr>
          <w:rFonts w:ascii="Times New Roman" w:eastAsia="Times New Roman" w:hAnsi="Times New Roman" w:cs="Times New Roman"/>
          <w:sz w:val="24"/>
          <w:lang w:bidi="ar-SA"/>
        </w:rPr>
        <w:t>н</w:t>
      </w:r>
      <w:r w:rsidRPr="00C904E0">
        <w:rPr>
          <w:rFonts w:ascii="Times New Roman" w:eastAsia="Times New Roman" w:hAnsi="Times New Roman" w:cs="Times New Roman"/>
          <w:sz w:val="24"/>
          <w:lang w:val="sr-Cyrl-RS" w:bidi="ar-SA"/>
        </w:rPr>
        <w:t>а цена за услуге из члана 2. овог уговора износи ____________ без ПДВ-а, односно _____________ динара са ПДВ-ом</w:t>
      </w:r>
      <w:r>
        <w:rPr>
          <w:rFonts w:ascii="Times New Roman" w:eastAsia="Times New Roman" w:hAnsi="Times New Roman" w:cs="Times New Roman"/>
          <w:sz w:val="24"/>
          <w:lang w:val="sr-Cyrl-RS" w:bidi="ar-SA"/>
        </w:rPr>
        <w:t>.</w:t>
      </w:r>
    </w:p>
    <w:p w:rsidR="00A12A13" w:rsidRDefault="00A12A13" w:rsidP="00A12A1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C904E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C904E0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C904E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A12A13" w:rsidRDefault="00A12A13" w:rsidP="00A12A1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12A13" w:rsidRDefault="00A12A13" w:rsidP="00A12A1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12A13" w:rsidRDefault="00A12A13" w:rsidP="00A12A1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12A13" w:rsidRPr="00C904E0" w:rsidRDefault="00A12A13" w:rsidP="00A12A13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12A13" w:rsidRPr="00C904E0" w:rsidRDefault="00A12A13" w:rsidP="00A12A13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A12A13" w:rsidRPr="00C904E0" w:rsidRDefault="00A12A13" w:rsidP="00A12A1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</w:t>
      </w:r>
      <w:r w:rsidRPr="00C904E0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2A13" w:rsidRPr="00ED2C6F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 се обавезује да ће плаћање извршити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два дела и то: аванс у износу од 50% уговорене цене у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року </w:t>
      </w:r>
      <w:r w:rsidR="007D1C00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 _____ дана</w:t>
      </w:r>
      <w:r w:rsidRPr="00C904E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закљученог уговора, а други део у износу од 50% у року </w:t>
      </w:r>
      <w:r w:rsidR="007D1C00">
        <w:rPr>
          <w:rFonts w:ascii="Times New Roman" w:hAnsi="Times New Roman" w:cs="Times New Roman"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 дана од дана испоруке опреме, пуштања у рад као и извршене обуке на начин како је захтевано конкурсном документацијом.</w:t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 w:rsidR="00161631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број ____________________ који се води код __________________ банке</w:t>
      </w:r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</w:p>
    <w:p w:rsidR="00A12A13" w:rsidRPr="00DB3E88" w:rsidRDefault="00A12A13" w:rsidP="00A12A1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C904E0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ИСПОРУКЕ И ГАРАНТНИ РОК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A13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Рок испоруке добара која су предмет набавке је ____ дана од дана потписивања уговора обе уговорне стране.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5" w:name="_Hlk5235389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Гарантни рок је у складу са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произвођачком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гаранцијом и траје ______ месец</w:t>
      </w:r>
      <w:bookmarkEnd w:id="5"/>
      <w:r w:rsidR="007F669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bookmarkStart w:id="6" w:name="_GoBack"/>
      <w:r w:rsidR="007F6693">
        <w:rPr>
          <w:rFonts w:ascii="Times New Roman" w:hAnsi="Times New Roman" w:cs="Times New Roman"/>
          <w:sz w:val="24"/>
          <w:szCs w:val="24"/>
          <w:lang w:val="sr-Cyrl-CS"/>
        </w:rPr>
        <w:t>(не краћи од 24)</w:t>
      </w:r>
      <w:bookmarkEnd w:id="6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A13" w:rsidRPr="00C904E0" w:rsidRDefault="00A12A13" w:rsidP="00A12A1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904E0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A12A13" w:rsidRPr="00C904E0" w:rsidRDefault="00A12A13" w:rsidP="00A12A13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C904E0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C9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6</w:t>
      </w:r>
      <w:r w:rsidRPr="00C904E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12A13" w:rsidRPr="00C904E0" w:rsidRDefault="00A12A13" w:rsidP="00A12A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4E0">
        <w:rPr>
          <w:rFonts w:ascii="Times New Roman" w:eastAsia="Calibri" w:hAnsi="Times New Roman" w:cs="Times New Roman"/>
          <w:sz w:val="24"/>
          <w:szCs w:val="24"/>
        </w:rPr>
        <w:tab/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eastAsia="Calibri" w:hAnsi="Times New Roman" w:cs="Times New Roman"/>
          <w:sz w:val="24"/>
          <w:szCs w:val="24"/>
        </w:rPr>
        <w:tab/>
      </w:r>
      <w:bookmarkStart w:id="7" w:name="_Hlk52354247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Понуђач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повраћај аванса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повраћај аванса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12A13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испуњење уговорних обавеза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lastRenderedPageBreak/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отклањање недостатака у гарантном року</w:t>
      </w:r>
      <w:r w:rsidRPr="00C904E0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C904E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од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904E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C904E0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C904E0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C904E0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. </w:t>
      </w:r>
      <w:r w:rsidRPr="00C904E0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C904E0">
        <w:rPr>
          <w:rFonts w:ascii="Times New Roman" w:hAnsi="Times New Roman" w:cs="Times New Roman"/>
          <w:sz w:val="24"/>
          <w:szCs w:val="24"/>
        </w:rPr>
        <w:t>)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A12A13" w:rsidRPr="00C904E0" w:rsidRDefault="00A12A13" w:rsidP="00A12A1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гарантног рока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04E0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Меница ће бити враћена на писани захтев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C904E0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A12A13" w:rsidRPr="001C7992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7"/>
    <w:p w:rsidR="00A12A13" w:rsidRPr="00C904E0" w:rsidRDefault="00A12A13" w:rsidP="00A12A13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904E0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A13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904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C904E0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04E0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C904E0">
        <w:rPr>
          <w:rFonts w:ascii="Times New Roman" w:hAnsi="Times New Roman" w:cs="Times New Roman"/>
          <w:sz w:val="24"/>
          <w:szCs w:val="24"/>
        </w:rPr>
        <w:t>.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2A13" w:rsidRPr="00C904E0" w:rsidRDefault="00A12A13" w:rsidP="00A12A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2A13" w:rsidRPr="00C904E0" w:rsidRDefault="00A12A13" w:rsidP="00A12A13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904E0">
        <w:rPr>
          <w:rFonts w:ascii="Times New Roman" w:hAnsi="Times New Roman" w:cs="Times New Roman"/>
          <w:sz w:val="24"/>
          <w:szCs w:val="24"/>
        </w:rPr>
        <w:t xml:space="preserve"> </w:t>
      </w:r>
      <w:r w:rsidRPr="00C904E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904E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A12A13" w:rsidRDefault="00A12A13" w:rsidP="00A12A13"/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Default="0040036B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614D42" w:rsidRDefault="00614D42" w:rsidP="00523AE3">
      <w:pPr>
        <w:rPr>
          <w:rFonts w:ascii="Times New Roman" w:hAnsi="Times New Roman" w:cs="Times New Roman"/>
          <w:sz w:val="24"/>
          <w:szCs w:val="24"/>
        </w:rPr>
      </w:pPr>
    </w:p>
    <w:p w:rsidR="0040036B" w:rsidRPr="0040036B" w:rsidRDefault="0040036B" w:rsidP="0040036B">
      <w:pPr>
        <w:rPr>
          <w:rFonts w:ascii="Times New Roman" w:hAnsi="Times New Roman" w:cs="Times New Roman"/>
          <w:sz w:val="24"/>
          <w:szCs w:val="24"/>
        </w:rPr>
      </w:pPr>
    </w:p>
    <w:p w:rsidR="00A70ACD" w:rsidRDefault="00A70ACD" w:rsidP="000E3618">
      <w:pPr>
        <w:adjustRightInd w:val="0"/>
        <w:jc w:val="center"/>
        <w:rPr>
          <w:rFonts w:ascii="Times New Roman" w:eastAsia="BookAntiqua-Bold" w:hAnsi="Times New Roman" w:cs="Times New Roman"/>
          <w:bCs/>
          <w:color w:val="000000"/>
          <w:lang w:val="sr-Cyrl-CS"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161631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bidi="ar-SA"/>
        </w:rPr>
      </w:pPr>
    </w:p>
    <w:p w:rsidR="000E3618" w:rsidRPr="000E3618" w:rsidRDefault="00161631" w:rsidP="000E3618">
      <w:pPr>
        <w:adjustRightInd w:val="0"/>
        <w:jc w:val="center"/>
        <w:rPr>
          <w:rFonts w:ascii="Times New Roman" w:eastAsia="Calibri" w:hAnsi="Times New Roman" w:cs="Times New Roman"/>
          <w:color w:val="000000"/>
          <w:lang w:val="sr-Cyrl-CS" w:bidi="ar-SA"/>
        </w:rPr>
      </w:pPr>
      <w:r>
        <w:rPr>
          <w:rFonts w:ascii="Times New Roman" w:eastAsia="Calibri" w:hAnsi="Times New Roman" w:cs="Times New Roman"/>
          <w:color w:val="000000"/>
          <w:lang w:val="sr-Cyrl-RS" w:bidi="ar-SA"/>
        </w:rPr>
        <w:t>О</w:t>
      </w:r>
      <w:proofErr w:type="spellStart"/>
      <w:r w:rsidR="000E3618" w:rsidRPr="000E3618">
        <w:rPr>
          <w:rFonts w:ascii="Times New Roman" w:eastAsia="Calibri" w:hAnsi="Times New Roman" w:cs="Times New Roman"/>
          <w:color w:val="000000"/>
          <w:lang w:bidi="ar-SA"/>
        </w:rPr>
        <w:t>бра</w:t>
      </w:r>
      <w:r>
        <w:rPr>
          <w:rFonts w:ascii="Times New Roman" w:eastAsia="Calibri" w:hAnsi="Times New Roman" w:cs="Times New Roman"/>
          <w:color w:val="000000"/>
          <w:lang w:val="sr-Cyrl-RS" w:bidi="ar-SA"/>
        </w:rPr>
        <w:t>зац</w:t>
      </w:r>
      <w:proofErr w:type="spellEnd"/>
      <w:r w:rsidR="000E3618" w:rsidRPr="000E3618">
        <w:rPr>
          <w:rFonts w:ascii="Times New Roman" w:eastAsia="Calibri" w:hAnsi="Times New Roman" w:cs="Times New Roman"/>
          <w:color w:val="000000"/>
          <w:lang w:bidi="ar-SA"/>
        </w:rPr>
        <w:t xml:space="preserve"> </w:t>
      </w:r>
      <w:r w:rsidR="000E3618" w:rsidRPr="000E3618">
        <w:rPr>
          <w:rFonts w:ascii="Times New Roman" w:eastAsia="Calibri" w:hAnsi="Times New Roman" w:cs="Times New Roman"/>
          <w:color w:val="000000"/>
          <w:lang w:val="sr-Cyrl-CS" w:bidi="ar-SA"/>
        </w:rPr>
        <w:t xml:space="preserve">спецификације са структуром понуђене цене   </w:t>
      </w:r>
    </w:p>
    <w:p w:rsidR="000E3618" w:rsidRPr="000E3618" w:rsidRDefault="000E3618" w:rsidP="000E3618">
      <w:pPr>
        <w:tabs>
          <w:tab w:val="left" w:pos="1440"/>
        </w:tabs>
        <w:jc w:val="both"/>
        <w:rPr>
          <w:rFonts w:ascii="Times New Roman" w:eastAsia="Malgun Gothic" w:hAnsi="Times New Roman" w:cs="Times New Roman"/>
          <w:color w:val="000000"/>
          <w:lang w:val="sr-Cyrl-CS" w:bidi="ar-SA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0"/>
        <w:gridCol w:w="4117"/>
        <w:gridCol w:w="850"/>
        <w:gridCol w:w="1329"/>
        <w:gridCol w:w="1369"/>
        <w:gridCol w:w="1417"/>
        <w:gridCol w:w="1560"/>
      </w:tblGrid>
      <w:tr w:rsidR="000E3618" w:rsidRPr="000E3618" w:rsidTr="00CB3C2B">
        <w:trPr>
          <w:trHeight w:val="397"/>
          <w:tblHeader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proofErr w:type="spellStart"/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Ред.бр</w:t>
            </w:r>
            <w:proofErr w:type="spellEnd"/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.</w:t>
            </w:r>
          </w:p>
        </w:tc>
        <w:tc>
          <w:tcPr>
            <w:tcW w:w="4117" w:type="dxa"/>
            <w:shd w:val="clear" w:color="auto" w:fill="FFFFFF" w:themeFill="background1"/>
            <w:vAlign w:val="center"/>
            <w:hideMark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 xml:space="preserve">Назив производа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м.</w:t>
            </w:r>
          </w:p>
        </w:tc>
        <w:tc>
          <w:tcPr>
            <w:tcW w:w="1329" w:type="dxa"/>
            <w:shd w:val="clear" w:color="auto" w:fill="FFFFFF" w:themeFill="background1"/>
            <w:vAlign w:val="center"/>
            <w:hideMark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Јединична цена без ПДВ-а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Јединична цена са ПДВ-ом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Укупна цена без ПДВ-а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4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bidi="ar-SA"/>
              </w:rPr>
              <w:t>Укупна цена са ПДВ-ом</w:t>
            </w:r>
          </w:p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5</w:t>
            </w: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0E3618" w:rsidRPr="000E3618" w:rsidTr="00CB3C2B">
        <w:trPr>
          <w:trHeight w:val="397"/>
          <w:tblHeader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3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4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bidi="ar-SA"/>
              </w:rPr>
              <w:t>7</w:t>
            </w:r>
          </w:p>
        </w:tc>
      </w:tr>
      <w:tr w:rsidR="000E3618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E3618" w:rsidRPr="000E3618" w:rsidRDefault="00E4446A" w:rsidP="000E3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TX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предајник са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канала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језика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E3618" w:rsidRPr="000E3618" w:rsidRDefault="00E4446A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noWrap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E3618" w:rsidRPr="000E3618" w:rsidRDefault="000E3618" w:rsidP="000E3618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E3618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Default="00E4446A" w:rsidP="000E361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радијатор са носачем, снаге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25W </w:t>
            </w:r>
          </w:p>
          <w:p w:rsidR="000E3618" w:rsidRPr="000E3618" w:rsidRDefault="00E4446A" w:rsidP="000E36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покривање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површине од 120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>m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²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618" w:rsidRPr="000E3618" w:rsidRDefault="00E4446A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0E3618" w:rsidRPr="000E3618" w:rsidRDefault="000E3618" w:rsidP="000E3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:rsidR="00E4446A" w:rsidRPr="00D155D5" w:rsidRDefault="00E4446A" w:rsidP="00E4446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Преводилачка јединица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пулт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са два пара слушалица са микрофоном, за два преводиоца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IC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бежични пријемник/слушалица: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канала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са заменљивим батеријама од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1,5V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уколико пријемник/слушалица користи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пуњиве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батерије, неопходно је понудити и адекватан пуњач који може да пуни све батерије одједном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</w:pPr>
            <w:r w:rsidRPr="00E44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60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Конференцијски систем са 5 стоних  микрофона и централном управљачком јединицом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5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Бежични ручни микрофони са базном јединицом за оба микрофона или за сваки појединачно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5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Микрофонски сталак за бежични микрофон за говорницу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5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Озвучење за просторију површине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120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>m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²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- 2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или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4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звучне кутије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Активне или пасивне звучне кутије са адекватним појачалом или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миксетом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са појачалом. Укупна снага озвучења од минимум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200W. </w:t>
            </w: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 могућству зидни носачи за звучне кутије. Пожељно је да носачи и звучне кутије буду беле боје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2 или 4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Уређај за уклањање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микрофоније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F52711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5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4446A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CB3C2B" w:rsidRDefault="00F52711" w:rsidP="00F52711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Аудио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миксета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са минимум 6 улаза </w:t>
            </w:r>
          </w:p>
          <w:p w:rsidR="00CB3C2B" w:rsidRDefault="00F52711" w:rsidP="00F52711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(у зависности од понуђених звучних </w:t>
            </w:r>
          </w:p>
          <w:p w:rsidR="00F52711" w:rsidRDefault="00F52711" w:rsidP="00F52711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кутија, долази у обзир и </w:t>
            </w:r>
            <w:proofErr w:type="spellStart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миксета</w:t>
            </w:r>
            <w:proofErr w:type="spellEnd"/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са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                     </w:t>
            </w:r>
          </w:p>
          <w:p w:rsidR="00E4446A" w:rsidRPr="000E3618" w:rsidRDefault="00F52711" w:rsidP="00F527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  <w:r w:rsidRPr="00D155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појачалом)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4446A" w:rsidRPr="000E3618" w:rsidRDefault="00CB3C2B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E4446A" w:rsidRPr="000E3618" w:rsidRDefault="00E4446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B3C2B" w:rsidRPr="000E3618" w:rsidTr="00CB3C2B">
        <w:trPr>
          <w:trHeight w:val="397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CB3C2B" w:rsidRPr="000E3618" w:rsidRDefault="00CB3C2B" w:rsidP="00E4446A">
            <w:pPr>
              <w:numPr>
                <w:ilvl w:val="0"/>
                <w:numId w:val="45"/>
              </w:numPr>
              <w:tabs>
                <w:tab w:val="left" w:pos="1440"/>
              </w:tabs>
              <w:autoSpaceDE/>
              <w:autoSpaceDN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CB3C2B" w:rsidRDefault="00CB3C2B" w:rsidP="00F52711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 xml:space="preserve">Аудио дистрибуција са минимално 6 </w:t>
            </w:r>
          </w:p>
          <w:p w:rsidR="00CB3C2B" w:rsidRPr="00D155D5" w:rsidRDefault="00CB3C2B" w:rsidP="00F52711">
            <w:pPr>
              <w:adjustRightInd w:val="0"/>
              <w:ind w:right="-2529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/>
              </w:rPr>
              <w:t>излаза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3C2B" w:rsidRPr="00CB3C2B" w:rsidRDefault="00CB3C2B" w:rsidP="00E4446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CB3C2B" w:rsidRPr="000E3618" w:rsidRDefault="00CB3C2B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CB3C2B" w:rsidRPr="000E3618" w:rsidRDefault="00CB3C2B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CB3C2B" w:rsidRPr="000E3618" w:rsidRDefault="00CB3C2B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CB3C2B" w:rsidRPr="000E3618" w:rsidRDefault="00CB3C2B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349AA" w:rsidRPr="000E3618" w:rsidTr="003349AA">
        <w:trPr>
          <w:trHeight w:val="397"/>
          <w:jc w:val="center"/>
        </w:trPr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:rsidR="003349AA" w:rsidRPr="00A70ACD" w:rsidRDefault="003349A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bidi="ar-SA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  <w:t>УКУПНО: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49AA" w:rsidRPr="00A70ACD" w:rsidRDefault="003349A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bidi="ar-SA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3349AA" w:rsidRPr="000E3618" w:rsidRDefault="003349AA" w:rsidP="00E44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70ACD" w:rsidRDefault="00A70ACD" w:rsidP="00A70ACD">
      <w:pPr>
        <w:rPr>
          <w:rFonts w:ascii="Times New Roman" w:hAnsi="Times New Roman" w:cs="Times New Roman"/>
          <w:sz w:val="24"/>
          <w:szCs w:val="24"/>
        </w:rPr>
      </w:pPr>
    </w:p>
    <w:sectPr w:rsidR="00A70ACD" w:rsidSect="00614D42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68" w:rsidRDefault="005D7168">
      <w:r>
        <w:separator/>
      </w:r>
    </w:p>
  </w:endnote>
  <w:endnote w:type="continuationSeparator" w:id="0">
    <w:p w:rsidR="005D7168" w:rsidRDefault="005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EA" w:rsidRPr="00CA6D4C" w:rsidRDefault="007231EA" w:rsidP="00CA6D4C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 w:rsidRPr="00CA6D4C"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noProof/>
        <w:color w:val="4F81BD" w:themeColor="accent1"/>
        <w:lang w:bidi="ar-SA"/>
      </w:rPr>
      <w:t>23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7231EA" w:rsidRPr="00CA6D4C" w:rsidRDefault="007231EA" w:rsidP="00CA6D4C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ОП 6</w:t>
    </w:r>
    <w:r w:rsidRPr="0016289B">
      <w:rPr>
        <w:rFonts w:ascii="Times New Roman" w:eastAsiaTheme="minorHAnsi" w:hAnsi="Times New Roman" w:cs="Times New Roman"/>
        <w:noProof/>
        <w:color w:val="212121"/>
        <w:lang w:val="sr-Cyrl-RS" w:bidi="ar-SA"/>
      </w:rPr>
      <w:t>/2020</w:t>
    </w:r>
  </w:p>
  <w:p w:rsidR="007231EA" w:rsidRDefault="007231EA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7231EA" w:rsidRPr="007D0AE6" w:rsidRDefault="007231EA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7231EA" w:rsidRDefault="007231E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68" w:rsidRDefault="005D7168">
      <w:r>
        <w:separator/>
      </w:r>
    </w:p>
  </w:footnote>
  <w:footnote w:type="continuationSeparator" w:id="0">
    <w:p w:rsidR="005D7168" w:rsidRDefault="005D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4FF"/>
    <w:multiLevelType w:val="hybridMultilevel"/>
    <w:tmpl w:val="FB42A39C"/>
    <w:lvl w:ilvl="0" w:tplc="89CE27B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22B0"/>
    <w:multiLevelType w:val="multilevel"/>
    <w:tmpl w:val="AA14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71D2"/>
    <w:multiLevelType w:val="hybridMultilevel"/>
    <w:tmpl w:val="706664C8"/>
    <w:lvl w:ilvl="0" w:tplc="38184954">
      <w:start w:val="1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62" w:hanging="360"/>
      </w:pPr>
    </w:lvl>
    <w:lvl w:ilvl="2" w:tplc="081A001B" w:tentative="1">
      <w:start w:val="1"/>
      <w:numFmt w:val="lowerRoman"/>
      <w:lvlText w:val="%3."/>
      <w:lvlJc w:val="right"/>
      <w:pPr>
        <w:ind w:left="1782" w:hanging="180"/>
      </w:pPr>
    </w:lvl>
    <w:lvl w:ilvl="3" w:tplc="081A000F" w:tentative="1">
      <w:start w:val="1"/>
      <w:numFmt w:val="decimal"/>
      <w:lvlText w:val="%4."/>
      <w:lvlJc w:val="left"/>
      <w:pPr>
        <w:ind w:left="2502" w:hanging="360"/>
      </w:pPr>
    </w:lvl>
    <w:lvl w:ilvl="4" w:tplc="081A0019" w:tentative="1">
      <w:start w:val="1"/>
      <w:numFmt w:val="lowerLetter"/>
      <w:lvlText w:val="%5."/>
      <w:lvlJc w:val="left"/>
      <w:pPr>
        <w:ind w:left="3222" w:hanging="360"/>
      </w:pPr>
    </w:lvl>
    <w:lvl w:ilvl="5" w:tplc="081A001B" w:tentative="1">
      <w:start w:val="1"/>
      <w:numFmt w:val="lowerRoman"/>
      <w:lvlText w:val="%6."/>
      <w:lvlJc w:val="right"/>
      <w:pPr>
        <w:ind w:left="3942" w:hanging="180"/>
      </w:pPr>
    </w:lvl>
    <w:lvl w:ilvl="6" w:tplc="081A000F" w:tentative="1">
      <w:start w:val="1"/>
      <w:numFmt w:val="decimal"/>
      <w:lvlText w:val="%7."/>
      <w:lvlJc w:val="left"/>
      <w:pPr>
        <w:ind w:left="4662" w:hanging="360"/>
      </w:pPr>
    </w:lvl>
    <w:lvl w:ilvl="7" w:tplc="081A0019" w:tentative="1">
      <w:start w:val="1"/>
      <w:numFmt w:val="lowerLetter"/>
      <w:lvlText w:val="%8."/>
      <w:lvlJc w:val="left"/>
      <w:pPr>
        <w:ind w:left="5382" w:hanging="360"/>
      </w:pPr>
    </w:lvl>
    <w:lvl w:ilvl="8" w:tplc="081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EE339D2"/>
    <w:multiLevelType w:val="hybridMultilevel"/>
    <w:tmpl w:val="9F24C4E8"/>
    <w:lvl w:ilvl="0" w:tplc="6C58FD7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750A"/>
    <w:multiLevelType w:val="hybridMultilevel"/>
    <w:tmpl w:val="E974CFD4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27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EDA"/>
    <w:multiLevelType w:val="multilevel"/>
    <w:tmpl w:val="AC0858B2"/>
    <w:lvl w:ilvl="0">
      <w:start w:val="1"/>
      <w:numFmt w:val="upperRoman"/>
      <w:pStyle w:val="Heading1"/>
      <w:lvlText w:val="%1."/>
      <w:lvlJc w:val="right"/>
      <w:pPr>
        <w:ind w:left="10000" w:hanging="360"/>
      </w:pPr>
    </w:lvl>
    <w:lvl w:ilvl="1">
      <w:start w:val="4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32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5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D4BDE"/>
    <w:multiLevelType w:val="hybridMultilevel"/>
    <w:tmpl w:val="8DE28D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0A11"/>
    <w:multiLevelType w:val="hybridMultilevel"/>
    <w:tmpl w:val="A710C45C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38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8"/>
  </w:num>
  <w:num w:numId="4">
    <w:abstractNumId w:val="25"/>
  </w:num>
  <w:num w:numId="5">
    <w:abstractNumId w:val="30"/>
  </w:num>
  <w:num w:numId="6">
    <w:abstractNumId w:val="0"/>
  </w:num>
  <w:num w:numId="7">
    <w:abstractNumId w:val="4"/>
  </w:num>
  <w:num w:numId="8">
    <w:abstractNumId w:val="33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37"/>
  </w:num>
  <w:num w:numId="15">
    <w:abstractNumId w:val="12"/>
  </w:num>
  <w:num w:numId="16">
    <w:abstractNumId w:val="29"/>
  </w:num>
  <w:num w:numId="17">
    <w:abstractNumId w:val="2"/>
  </w:num>
  <w:num w:numId="18">
    <w:abstractNumId w:val="41"/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42"/>
  </w:num>
  <w:num w:numId="24">
    <w:abstractNumId w:val="40"/>
  </w:num>
  <w:num w:numId="25">
    <w:abstractNumId w:val="35"/>
  </w:num>
  <w:num w:numId="26">
    <w:abstractNumId w:val="16"/>
  </w:num>
  <w:num w:numId="27">
    <w:abstractNumId w:val="24"/>
  </w:num>
  <w:num w:numId="28">
    <w:abstractNumId w:val="18"/>
  </w:num>
  <w:num w:numId="29">
    <w:abstractNumId w:val="32"/>
  </w:num>
  <w:num w:numId="30">
    <w:abstractNumId w:val="9"/>
  </w:num>
  <w:num w:numId="31">
    <w:abstractNumId w:val="23"/>
  </w:num>
  <w:num w:numId="32">
    <w:abstractNumId w:val="28"/>
  </w:num>
  <w:num w:numId="33">
    <w:abstractNumId w:val="11"/>
  </w:num>
  <w:num w:numId="34">
    <w:abstractNumId w:val="8"/>
  </w:num>
  <w:num w:numId="35">
    <w:abstractNumId w:val="6"/>
  </w:num>
  <w:num w:numId="36">
    <w:abstractNumId w:val="27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3"/>
  </w:num>
  <w:num w:numId="42">
    <w:abstractNumId w:val="22"/>
  </w:num>
  <w:num w:numId="43">
    <w:abstractNumId w:val="7"/>
  </w:num>
  <w:num w:numId="44">
    <w:abstractNumId w:val="17"/>
  </w:num>
  <w:num w:numId="45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0C39"/>
    <w:rsid w:val="000064F2"/>
    <w:rsid w:val="00023EE8"/>
    <w:rsid w:val="00026755"/>
    <w:rsid w:val="000273B5"/>
    <w:rsid w:val="00032267"/>
    <w:rsid w:val="000370AE"/>
    <w:rsid w:val="0004009C"/>
    <w:rsid w:val="0004566D"/>
    <w:rsid w:val="00051173"/>
    <w:rsid w:val="00066DC9"/>
    <w:rsid w:val="000677D4"/>
    <w:rsid w:val="000740CD"/>
    <w:rsid w:val="00074B68"/>
    <w:rsid w:val="00075F26"/>
    <w:rsid w:val="00080F10"/>
    <w:rsid w:val="0008330F"/>
    <w:rsid w:val="00087044"/>
    <w:rsid w:val="00092DAB"/>
    <w:rsid w:val="00095BD2"/>
    <w:rsid w:val="00096227"/>
    <w:rsid w:val="000A028A"/>
    <w:rsid w:val="000C3163"/>
    <w:rsid w:val="000C3281"/>
    <w:rsid w:val="000C5C04"/>
    <w:rsid w:val="000D0386"/>
    <w:rsid w:val="000E3618"/>
    <w:rsid w:val="000E4750"/>
    <w:rsid w:val="000E5159"/>
    <w:rsid w:val="000F1A39"/>
    <w:rsid w:val="000F2893"/>
    <w:rsid w:val="000F4287"/>
    <w:rsid w:val="000F4295"/>
    <w:rsid w:val="000F5735"/>
    <w:rsid w:val="000F7B95"/>
    <w:rsid w:val="001032D6"/>
    <w:rsid w:val="00103501"/>
    <w:rsid w:val="00107D28"/>
    <w:rsid w:val="00125A05"/>
    <w:rsid w:val="0012603D"/>
    <w:rsid w:val="00134442"/>
    <w:rsid w:val="00137C16"/>
    <w:rsid w:val="0014257A"/>
    <w:rsid w:val="00143015"/>
    <w:rsid w:val="00144CB8"/>
    <w:rsid w:val="001463E1"/>
    <w:rsid w:val="00146B14"/>
    <w:rsid w:val="0015063C"/>
    <w:rsid w:val="00156DBA"/>
    <w:rsid w:val="0015745E"/>
    <w:rsid w:val="00161631"/>
    <w:rsid w:val="001618C8"/>
    <w:rsid w:val="0016289B"/>
    <w:rsid w:val="00163368"/>
    <w:rsid w:val="00163804"/>
    <w:rsid w:val="00167C91"/>
    <w:rsid w:val="00170360"/>
    <w:rsid w:val="00174DE9"/>
    <w:rsid w:val="00186F61"/>
    <w:rsid w:val="001877C1"/>
    <w:rsid w:val="00187A6D"/>
    <w:rsid w:val="001A0C91"/>
    <w:rsid w:val="001A0E90"/>
    <w:rsid w:val="001A56EE"/>
    <w:rsid w:val="001A63AD"/>
    <w:rsid w:val="001A65F0"/>
    <w:rsid w:val="001A6716"/>
    <w:rsid w:val="001B6083"/>
    <w:rsid w:val="001B72C4"/>
    <w:rsid w:val="001C0F34"/>
    <w:rsid w:val="001C67C1"/>
    <w:rsid w:val="001C6C0C"/>
    <w:rsid w:val="001D28FB"/>
    <w:rsid w:val="001D6394"/>
    <w:rsid w:val="001E1338"/>
    <w:rsid w:val="001E202B"/>
    <w:rsid w:val="001E50E9"/>
    <w:rsid w:val="001E5C6D"/>
    <w:rsid w:val="001E680B"/>
    <w:rsid w:val="001F1977"/>
    <w:rsid w:val="001F1980"/>
    <w:rsid w:val="001F31E5"/>
    <w:rsid w:val="001F4C32"/>
    <w:rsid w:val="00207170"/>
    <w:rsid w:val="00207F74"/>
    <w:rsid w:val="0021198E"/>
    <w:rsid w:val="002149B1"/>
    <w:rsid w:val="002172C0"/>
    <w:rsid w:val="00220C7D"/>
    <w:rsid w:val="00224B1F"/>
    <w:rsid w:val="0024639A"/>
    <w:rsid w:val="0025010E"/>
    <w:rsid w:val="002574F9"/>
    <w:rsid w:val="00257C50"/>
    <w:rsid w:val="002626B3"/>
    <w:rsid w:val="002634BB"/>
    <w:rsid w:val="00265EFC"/>
    <w:rsid w:val="00271B96"/>
    <w:rsid w:val="00274081"/>
    <w:rsid w:val="00285CC9"/>
    <w:rsid w:val="00285F79"/>
    <w:rsid w:val="00287B3A"/>
    <w:rsid w:val="002901BF"/>
    <w:rsid w:val="00291F6A"/>
    <w:rsid w:val="00293368"/>
    <w:rsid w:val="00295042"/>
    <w:rsid w:val="0029692B"/>
    <w:rsid w:val="002974F4"/>
    <w:rsid w:val="002A08F1"/>
    <w:rsid w:val="002A633B"/>
    <w:rsid w:val="002A638A"/>
    <w:rsid w:val="002A6D62"/>
    <w:rsid w:val="002B6CFC"/>
    <w:rsid w:val="002C2D28"/>
    <w:rsid w:val="002D394C"/>
    <w:rsid w:val="002D598A"/>
    <w:rsid w:val="002D78BE"/>
    <w:rsid w:val="002E1B80"/>
    <w:rsid w:val="002E21EB"/>
    <w:rsid w:val="002E5B51"/>
    <w:rsid w:val="00301421"/>
    <w:rsid w:val="003014E3"/>
    <w:rsid w:val="00311CC6"/>
    <w:rsid w:val="00314362"/>
    <w:rsid w:val="003168B1"/>
    <w:rsid w:val="003175B0"/>
    <w:rsid w:val="00321447"/>
    <w:rsid w:val="003249DB"/>
    <w:rsid w:val="00325C0A"/>
    <w:rsid w:val="00327D0A"/>
    <w:rsid w:val="003349AA"/>
    <w:rsid w:val="003365C3"/>
    <w:rsid w:val="00342A3F"/>
    <w:rsid w:val="00346477"/>
    <w:rsid w:val="00347594"/>
    <w:rsid w:val="003605D2"/>
    <w:rsid w:val="003606CE"/>
    <w:rsid w:val="00361AD8"/>
    <w:rsid w:val="0036504B"/>
    <w:rsid w:val="0036566A"/>
    <w:rsid w:val="003717CD"/>
    <w:rsid w:val="0037500A"/>
    <w:rsid w:val="0038062D"/>
    <w:rsid w:val="0038246A"/>
    <w:rsid w:val="00390FF5"/>
    <w:rsid w:val="00391325"/>
    <w:rsid w:val="003916DA"/>
    <w:rsid w:val="00392B9A"/>
    <w:rsid w:val="00394B86"/>
    <w:rsid w:val="00397D20"/>
    <w:rsid w:val="003A168D"/>
    <w:rsid w:val="003A59D7"/>
    <w:rsid w:val="003B0DE3"/>
    <w:rsid w:val="003B626A"/>
    <w:rsid w:val="003C3087"/>
    <w:rsid w:val="003D2C05"/>
    <w:rsid w:val="003E2390"/>
    <w:rsid w:val="003E40D6"/>
    <w:rsid w:val="003E52D4"/>
    <w:rsid w:val="003E66B4"/>
    <w:rsid w:val="003F3A49"/>
    <w:rsid w:val="003F449E"/>
    <w:rsid w:val="0040036B"/>
    <w:rsid w:val="0040222F"/>
    <w:rsid w:val="0040299C"/>
    <w:rsid w:val="0040351A"/>
    <w:rsid w:val="00405731"/>
    <w:rsid w:val="004068CC"/>
    <w:rsid w:val="004105BA"/>
    <w:rsid w:val="0041173E"/>
    <w:rsid w:val="0041221B"/>
    <w:rsid w:val="004214DE"/>
    <w:rsid w:val="00423C22"/>
    <w:rsid w:val="004250D5"/>
    <w:rsid w:val="00430513"/>
    <w:rsid w:val="004327FD"/>
    <w:rsid w:val="00433B1D"/>
    <w:rsid w:val="004444B3"/>
    <w:rsid w:val="004565B4"/>
    <w:rsid w:val="004628B2"/>
    <w:rsid w:val="00464AF7"/>
    <w:rsid w:val="00471FBF"/>
    <w:rsid w:val="004825BC"/>
    <w:rsid w:val="00483CA8"/>
    <w:rsid w:val="00485812"/>
    <w:rsid w:val="00486488"/>
    <w:rsid w:val="00486777"/>
    <w:rsid w:val="00490198"/>
    <w:rsid w:val="0049298A"/>
    <w:rsid w:val="004A5998"/>
    <w:rsid w:val="004A776C"/>
    <w:rsid w:val="004B05E9"/>
    <w:rsid w:val="004C257F"/>
    <w:rsid w:val="004C3110"/>
    <w:rsid w:val="004C42B7"/>
    <w:rsid w:val="004C7936"/>
    <w:rsid w:val="004D05C9"/>
    <w:rsid w:val="004E1D2E"/>
    <w:rsid w:val="004E1E30"/>
    <w:rsid w:val="004E6803"/>
    <w:rsid w:val="004F1AE6"/>
    <w:rsid w:val="004F7D5E"/>
    <w:rsid w:val="00506CE8"/>
    <w:rsid w:val="00510433"/>
    <w:rsid w:val="00520CA1"/>
    <w:rsid w:val="00523AE3"/>
    <w:rsid w:val="00526050"/>
    <w:rsid w:val="005336BE"/>
    <w:rsid w:val="00536A74"/>
    <w:rsid w:val="005375CC"/>
    <w:rsid w:val="00545036"/>
    <w:rsid w:val="00550928"/>
    <w:rsid w:val="00550F82"/>
    <w:rsid w:val="00552DC3"/>
    <w:rsid w:val="0055768C"/>
    <w:rsid w:val="00557BC1"/>
    <w:rsid w:val="00561380"/>
    <w:rsid w:val="005620CE"/>
    <w:rsid w:val="00564089"/>
    <w:rsid w:val="0056507B"/>
    <w:rsid w:val="00582580"/>
    <w:rsid w:val="0058785E"/>
    <w:rsid w:val="00594CA5"/>
    <w:rsid w:val="00596D81"/>
    <w:rsid w:val="00597985"/>
    <w:rsid w:val="005A720E"/>
    <w:rsid w:val="005B0439"/>
    <w:rsid w:val="005B209B"/>
    <w:rsid w:val="005C3D0E"/>
    <w:rsid w:val="005C3E5B"/>
    <w:rsid w:val="005D573E"/>
    <w:rsid w:val="005D6B84"/>
    <w:rsid w:val="005D7168"/>
    <w:rsid w:val="005E0960"/>
    <w:rsid w:val="005E2F41"/>
    <w:rsid w:val="005E42B6"/>
    <w:rsid w:val="005E4446"/>
    <w:rsid w:val="005F5B8F"/>
    <w:rsid w:val="005F62FB"/>
    <w:rsid w:val="00605D43"/>
    <w:rsid w:val="00606866"/>
    <w:rsid w:val="0060706D"/>
    <w:rsid w:val="00612C1E"/>
    <w:rsid w:val="00614D42"/>
    <w:rsid w:val="00616C9F"/>
    <w:rsid w:val="00620041"/>
    <w:rsid w:val="0062078B"/>
    <w:rsid w:val="00624DA7"/>
    <w:rsid w:val="00625D9B"/>
    <w:rsid w:val="00630214"/>
    <w:rsid w:val="00632448"/>
    <w:rsid w:val="006433AC"/>
    <w:rsid w:val="00645D85"/>
    <w:rsid w:val="00652609"/>
    <w:rsid w:val="006558DC"/>
    <w:rsid w:val="0066202B"/>
    <w:rsid w:val="00683BE9"/>
    <w:rsid w:val="00683CD8"/>
    <w:rsid w:val="00687D29"/>
    <w:rsid w:val="006A5EF8"/>
    <w:rsid w:val="006A6477"/>
    <w:rsid w:val="006B288E"/>
    <w:rsid w:val="006B5C23"/>
    <w:rsid w:val="006B6911"/>
    <w:rsid w:val="006C04A2"/>
    <w:rsid w:val="006C7024"/>
    <w:rsid w:val="006D39BE"/>
    <w:rsid w:val="006D4807"/>
    <w:rsid w:val="006D619F"/>
    <w:rsid w:val="006D75D5"/>
    <w:rsid w:val="006E2AB1"/>
    <w:rsid w:val="006E6503"/>
    <w:rsid w:val="006E66E8"/>
    <w:rsid w:val="006F30EB"/>
    <w:rsid w:val="006F3C3B"/>
    <w:rsid w:val="006F61C9"/>
    <w:rsid w:val="006F7BB3"/>
    <w:rsid w:val="007055F2"/>
    <w:rsid w:val="00712C5B"/>
    <w:rsid w:val="00722745"/>
    <w:rsid w:val="007231EA"/>
    <w:rsid w:val="00724DE5"/>
    <w:rsid w:val="007259B5"/>
    <w:rsid w:val="007262CB"/>
    <w:rsid w:val="007269CE"/>
    <w:rsid w:val="0072763B"/>
    <w:rsid w:val="007343E0"/>
    <w:rsid w:val="007434A2"/>
    <w:rsid w:val="00746F54"/>
    <w:rsid w:val="007521E2"/>
    <w:rsid w:val="00752F76"/>
    <w:rsid w:val="00753392"/>
    <w:rsid w:val="00757752"/>
    <w:rsid w:val="00762927"/>
    <w:rsid w:val="007642CD"/>
    <w:rsid w:val="007656CC"/>
    <w:rsid w:val="0076690A"/>
    <w:rsid w:val="00772156"/>
    <w:rsid w:val="00772496"/>
    <w:rsid w:val="00777D3C"/>
    <w:rsid w:val="00782D8D"/>
    <w:rsid w:val="0079089D"/>
    <w:rsid w:val="0079411A"/>
    <w:rsid w:val="007A2851"/>
    <w:rsid w:val="007A3309"/>
    <w:rsid w:val="007B19CF"/>
    <w:rsid w:val="007B1FE7"/>
    <w:rsid w:val="007B3893"/>
    <w:rsid w:val="007B51B6"/>
    <w:rsid w:val="007B78CE"/>
    <w:rsid w:val="007C0C01"/>
    <w:rsid w:val="007C45F3"/>
    <w:rsid w:val="007C574B"/>
    <w:rsid w:val="007C5DFD"/>
    <w:rsid w:val="007C6742"/>
    <w:rsid w:val="007C6837"/>
    <w:rsid w:val="007C7540"/>
    <w:rsid w:val="007D0AE6"/>
    <w:rsid w:val="007D1C00"/>
    <w:rsid w:val="007D28BF"/>
    <w:rsid w:val="007D5B81"/>
    <w:rsid w:val="007E1DBA"/>
    <w:rsid w:val="007E53B2"/>
    <w:rsid w:val="007E5465"/>
    <w:rsid w:val="007E782C"/>
    <w:rsid w:val="007F0088"/>
    <w:rsid w:val="007F1157"/>
    <w:rsid w:val="007F12FD"/>
    <w:rsid w:val="007F23E2"/>
    <w:rsid w:val="007F2DC0"/>
    <w:rsid w:val="007F6693"/>
    <w:rsid w:val="007F6790"/>
    <w:rsid w:val="007F6D87"/>
    <w:rsid w:val="007F71C1"/>
    <w:rsid w:val="00800AD1"/>
    <w:rsid w:val="0080582F"/>
    <w:rsid w:val="00812818"/>
    <w:rsid w:val="00817892"/>
    <w:rsid w:val="00821CC7"/>
    <w:rsid w:val="008238D0"/>
    <w:rsid w:val="0082711D"/>
    <w:rsid w:val="00833199"/>
    <w:rsid w:val="008434F4"/>
    <w:rsid w:val="00850A61"/>
    <w:rsid w:val="00852AEC"/>
    <w:rsid w:val="00856779"/>
    <w:rsid w:val="00857B05"/>
    <w:rsid w:val="0086080B"/>
    <w:rsid w:val="00860FE2"/>
    <w:rsid w:val="00863992"/>
    <w:rsid w:val="0087178A"/>
    <w:rsid w:val="00871B47"/>
    <w:rsid w:val="00876C22"/>
    <w:rsid w:val="008817F6"/>
    <w:rsid w:val="00883F2B"/>
    <w:rsid w:val="00884723"/>
    <w:rsid w:val="00885C8B"/>
    <w:rsid w:val="008975CA"/>
    <w:rsid w:val="008B1F7C"/>
    <w:rsid w:val="008B2CE1"/>
    <w:rsid w:val="008B513A"/>
    <w:rsid w:val="008B58B4"/>
    <w:rsid w:val="008B60B3"/>
    <w:rsid w:val="008B63B6"/>
    <w:rsid w:val="008C21A6"/>
    <w:rsid w:val="008C2F00"/>
    <w:rsid w:val="008C520F"/>
    <w:rsid w:val="008C666E"/>
    <w:rsid w:val="008D08E8"/>
    <w:rsid w:val="008D2CFA"/>
    <w:rsid w:val="008D50A9"/>
    <w:rsid w:val="008D6227"/>
    <w:rsid w:val="008D6406"/>
    <w:rsid w:val="008D713E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4A58"/>
    <w:rsid w:val="00917469"/>
    <w:rsid w:val="00917514"/>
    <w:rsid w:val="009203DD"/>
    <w:rsid w:val="00921B93"/>
    <w:rsid w:val="009300C5"/>
    <w:rsid w:val="0094012B"/>
    <w:rsid w:val="00940B2A"/>
    <w:rsid w:val="00941512"/>
    <w:rsid w:val="009423F3"/>
    <w:rsid w:val="009506D6"/>
    <w:rsid w:val="00954D25"/>
    <w:rsid w:val="00957338"/>
    <w:rsid w:val="00957EBE"/>
    <w:rsid w:val="00964CE4"/>
    <w:rsid w:val="00966027"/>
    <w:rsid w:val="00967485"/>
    <w:rsid w:val="00967D5D"/>
    <w:rsid w:val="00971A54"/>
    <w:rsid w:val="00972A65"/>
    <w:rsid w:val="009824F4"/>
    <w:rsid w:val="00982F4C"/>
    <w:rsid w:val="00985A4D"/>
    <w:rsid w:val="00985F44"/>
    <w:rsid w:val="0099198D"/>
    <w:rsid w:val="00992DA0"/>
    <w:rsid w:val="009974F2"/>
    <w:rsid w:val="009A0C73"/>
    <w:rsid w:val="009A534A"/>
    <w:rsid w:val="009A7882"/>
    <w:rsid w:val="009B0012"/>
    <w:rsid w:val="009B29EE"/>
    <w:rsid w:val="009B3337"/>
    <w:rsid w:val="009C68F8"/>
    <w:rsid w:val="009D0EE5"/>
    <w:rsid w:val="009D43B1"/>
    <w:rsid w:val="009D6883"/>
    <w:rsid w:val="009E1218"/>
    <w:rsid w:val="009F0E53"/>
    <w:rsid w:val="009F4AB3"/>
    <w:rsid w:val="009F6AC6"/>
    <w:rsid w:val="009F6F0F"/>
    <w:rsid w:val="009F7EC4"/>
    <w:rsid w:val="00A0019C"/>
    <w:rsid w:val="00A12A13"/>
    <w:rsid w:val="00A162D6"/>
    <w:rsid w:val="00A232F6"/>
    <w:rsid w:val="00A26653"/>
    <w:rsid w:val="00A30EFD"/>
    <w:rsid w:val="00A40595"/>
    <w:rsid w:val="00A40E0E"/>
    <w:rsid w:val="00A47BF4"/>
    <w:rsid w:val="00A569EB"/>
    <w:rsid w:val="00A624E0"/>
    <w:rsid w:val="00A62E3D"/>
    <w:rsid w:val="00A66777"/>
    <w:rsid w:val="00A670F0"/>
    <w:rsid w:val="00A70265"/>
    <w:rsid w:val="00A70ACD"/>
    <w:rsid w:val="00A81905"/>
    <w:rsid w:val="00A86527"/>
    <w:rsid w:val="00A913F2"/>
    <w:rsid w:val="00AA22F1"/>
    <w:rsid w:val="00AA5736"/>
    <w:rsid w:val="00AB0C25"/>
    <w:rsid w:val="00AB10C7"/>
    <w:rsid w:val="00AC2213"/>
    <w:rsid w:val="00AC2BC2"/>
    <w:rsid w:val="00AC4996"/>
    <w:rsid w:val="00AC550E"/>
    <w:rsid w:val="00AD18B0"/>
    <w:rsid w:val="00AD5AB7"/>
    <w:rsid w:val="00AD7A7F"/>
    <w:rsid w:val="00AE02B0"/>
    <w:rsid w:val="00AE0A10"/>
    <w:rsid w:val="00AE2D8C"/>
    <w:rsid w:val="00AF7023"/>
    <w:rsid w:val="00B007DC"/>
    <w:rsid w:val="00B0083D"/>
    <w:rsid w:val="00B071A7"/>
    <w:rsid w:val="00B07238"/>
    <w:rsid w:val="00B11AF1"/>
    <w:rsid w:val="00B134EE"/>
    <w:rsid w:val="00B14B48"/>
    <w:rsid w:val="00B167F5"/>
    <w:rsid w:val="00B17CA9"/>
    <w:rsid w:val="00B20304"/>
    <w:rsid w:val="00B27892"/>
    <w:rsid w:val="00B27F9C"/>
    <w:rsid w:val="00B3722F"/>
    <w:rsid w:val="00B418E8"/>
    <w:rsid w:val="00B511FA"/>
    <w:rsid w:val="00B54485"/>
    <w:rsid w:val="00B54B45"/>
    <w:rsid w:val="00B6393C"/>
    <w:rsid w:val="00B77D9D"/>
    <w:rsid w:val="00B83816"/>
    <w:rsid w:val="00B840A4"/>
    <w:rsid w:val="00B845FD"/>
    <w:rsid w:val="00B876DC"/>
    <w:rsid w:val="00B92B64"/>
    <w:rsid w:val="00B95A0B"/>
    <w:rsid w:val="00BA0491"/>
    <w:rsid w:val="00BA5004"/>
    <w:rsid w:val="00BB6FCD"/>
    <w:rsid w:val="00BC7463"/>
    <w:rsid w:val="00BD3B77"/>
    <w:rsid w:val="00BD5411"/>
    <w:rsid w:val="00BE1CC1"/>
    <w:rsid w:val="00BE55C8"/>
    <w:rsid w:val="00BE6344"/>
    <w:rsid w:val="00BE6355"/>
    <w:rsid w:val="00BF2635"/>
    <w:rsid w:val="00BF2B0A"/>
    <w:rsid w:val="00BF6808"/>
    <w:rsid w:val="00BF6D21"/>
    <w:rsid w:val="00BF78AB"/>
    <w:rsid w:val="00C0385D"/>
    <w:rsid w:val="00C0616E"/>
    <w:rsid w:val="00C06A81"/>
    <w:rsid w:val="00C075B3"/>
    <w:rsid w:val="00C10247"/>
    <w:rsid w:val="00C130AE"/>
    <w:rsid w:val="00C14422"/>
    <w:rsid w:val="00C17255"/>
    <w:rsid w:val="00C27E27"/>
    <w:rsid w:val="00C31086"/>
    <w:rsid w:val="00C313E9"/>
    <w:rsid w:val="00C3276B"/>
    <w:rsid w:val="00C34A47"/>
    <w:rsid w:val="00C3530F"/>
    <w:rsid w:val="00C36E8C"/>
    <w:rsid w:val="00C405AA"/>
    <w:rsid w:val="00C40EA6"/>
    <w:rsid w:val="00C436DC"/>
    <w:rsid w:val="00C4772D"/>
    <w:rsid w:val="00C56CC5"/>
    <w:rsid w:val="00C57E9E"/>
    <w:rsid w:val="00C60B07"/>
    <w:rsid w:val="00C61E1C"/>
    <w:rsid w:val="00C62D28"/>
    <w:rsid w:val="00C6657A"/>
    <w:rsid w:val="00C76AEA"/>
    <w:rsid w:val="00C81096"/>
    <w:rsid w:val="00C819E4"/>
    <w:rsid w:val="00C93798"/>
    <w:rsid w:val="00C964BB"/>
    <w:rsid w:val="00CA4E97"/>
    <w:rsid w:val="00CA6D4C"/>
    <w:rsid w:val="00CB0532"/>
    <w:rsid w:val="00CB3C2B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0770"/>
    <w:rsid w:val="00CF263D"/>
    <w:rsid w:val="00CF38E1"/>
    <w:rsid w:val="00CF49C5"/>
    <w:rsid w:val="00CF75E0"/>
    <w:rsid w:val="00D00D38"/>
    <w:rsid w:val="00D02A28"/>
    <w:rsid w:val="00D060F4"/>
    <w:rsid w:val="00D120DC"/>
    <w:rsid w:val="00D15FB9"/>
    <w:rsid w:val="00D17D36"/>
    <w:rsid w:val="00D31C8B"/>
    <w:rsid w:val="00D31DFC"/>
    <w:rsid w:val="00D3554E"/>
    <w:rsid w:val="00D37528"/>
    <w:rsid w:val="00D412D1"/>
    <w:rsid w:val="00D4132F"/>
    <w:rsid w:val="00D42E78"/>
    <w:rsid w:val="00D51274"/>
    <w:rsid w:val="00D557A0"/>
    <w:rsid w:val="00D56D03"/>
    <w:rsid w:val="00D62FBA"/>
    <w:rsid w:val="00D668A5"/>
    <w:rsid w:val="00D7577A"/>
    <w:rsid w:val="00D75818"/>
    <w:rsid w:val="00D76313"/>
    <w:rsid w:val="00D825A4"/>
    <w:rsid w:val="00D84AFF"/>
    <w:rsid w:val="00DA151B"/>
    <w:rsid w:val="00DA1A52"/>
    <w:rsid w:val="00DA20E4"/>
    <w:rsid w:val="00DB1819"/>
    <w:rsid w:val="00DB2569"/>
    <w:rsid w:val="00DB2588"/>
    <w:rsid w:val="00DB69EE"/>
    <w:rsid w:val="00DC134E"/>
    <w:rsid w:val="00DD3BCB"/>
    <w:rsid w:val="00DE462B"/>
    <w:rsid w:val="00DE4D44"/>
    <w:rsid w:val="00DF264D"/>
    <w:rsid w:val="00DF3EE4"/>
    <w:rsid w:val="00DF58B3"/>
    <w:rsid w:val="00E11153"/>
    <w:rsid w:val="00E2155A"/>
    <w:rsid w:val="00E21C20"/>
    <w:rsid w:val="00E31D3B"/>
    <w:rsid w:val="00E340C2"/>
    <w:rsid w:val="00E378B6"/>
    <w:rsid w:val="00E42BF4"/>
    <w:rsid w:val="00E441C8"/>
    <w:rsid w:val="00E4446A"/>
    <w:rsid w:val="00E5464C"/>
    <w:rsid w:val="00E60A79"/>
    <w:rsid w:val="00E61922"/>
    <w:rsid w:val="00E67B1E"/>
    <w:rsid w:val="00E767F0"/>
    <w:rsid w:val="00E813DC"/>
    <w:rsid w:val="00E90301"/>
    <w:rsid w:val="00E926DE"/>
    <w:rsid w:val="00E92814"/>
    <w:rsid w:val="00E9544E"/>
    <w:rsid w:val="00E96498"/>
    <w:rsid w:val="00EA4DDE"/>
    <w:rsid w:val="00EA6F63"/>
    <w:rsid w:val="00EC5CEB"/>
    <w:rsid w:val="00EC61B7"/>
    <w:rsid w:val="00EC620A"/>
    <w:rsid w:val="00EC6E1B"/>
    <w:rsid w:val="00EC7C8B"/>
    <w:rsid w:val="00ED1DE6"/>
    <w:rsid w:val="00ED3FA6"/>
    <w:rsid w:val="00EE1AA4"/>
    <w:rsid w:val="00EE1B27"/>
    <w:rsid w:val="00EE390B"/>
    <w:rsid w:val="00EE3B9B"/>
    <w:rsid w:val="00EE77D4"/>
    <w:rsid w:val="00EE7D79"/>
    <w:rsid w:val="00EF242B"/>
    <w:rsid w:val="00EF6C7D"/>
    <w:rsid w:val="00EF70CF"/>
    <w:rsid w:val="00EF70F8"/>
    <w:rsid w:val="00F02BF9"/>
    <w:rsid w:val="00F11F86"/>
    <w:rsid w:val="00F156C0"/>
    <w:rsid w:val="00F20D68"/>
    <w:rsid w:val="00F2505E"/>
    <w:rsid w:val="00F263E4"/>
    <w:rsid w:val="00F27A85"/>
    <w:rsid w:val="00F35E6A"/>
    <w:rsid w:val="00F36384"/>
    <w:rsid w:val="00F42A4C"/>
    <w:rsid w:val="00F42CA6"/>
    <w:rsid w:val="00F50B58"/>
    <w:rsid w:val="00F50CD9"/>
    <w:rsid w:val="00F52711"/>
    <w:rsid w:val="00F54966"/>
    <w:rsid w:val="00F61FD1"/>
    <w:rsid w:val="00F673DA"/>
    <w:rsid w:val="00F726EA"/>
    <w:rsid w:val="00F734CB"/>
    <w:rsid w:val="00F7419E"/>
    <w:rsid w:val="00F74E73"/>
    <w:rsid w:val="00F80638"/>
    <w:rsid w:val="00F82DC8"/>
    <w:rsid w:val="00F83EAE"/>
    <w:rsid w:val="00F86213"/>
    <w:rsid w:val="00F8759F"/>
    <w:rsid w:val="00F875F7"/>
    <w:rsid w:val="00F87673"/>
    <w:rsid w:val="00F87DC0"/>
    <w:rsid w:val="00F959BA"/>
    <w:rsid w:val="00FA1495"/>
    <w:rsid w:val="00FA2BA0"/>
    <w:rsid w:val="00FA3A34"/>
    <w:rsid w:val="00FA7688"/>
    <w:rsid w:val="00FA7AC3"/>
    <w:rsid w:val="00FB24A3"/>
    <w:rsid w:val="00FB5B5E"/>
    <w:rsid w:val="00FC0892"/>
    <w:rsid w:val="00FC3F37"/>
    <w:rsid w:val="00FC6189"/>
    <w:rsid w:val="00FC7201"/>
    <w:rsid w:val="00FD00FB"/>
    <w:rsid w:val="00FD5F4F"/>
    <w:rsid w:val="00FD6E13"/>
    <w:rsid w:val="00FE3DB7"/>
    <w:rsid w:val="00FF14B0"/>
    <w:rsid w:val="00FF3E4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1D32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ind w:left="2911"/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430513"/>
    <w:pPr>
      <w:ind w:left="1843" w:right="391" w:hanging="1559"/>
      <w:jc w:val="right"/>
      <w:outlineLvl w:val="1"/>
    </w:pPr>
    <w:rPr>
      <w:rFonts w:ascii="Times New Roman" w:eastAsia="Arial" w:hAnsi="Times New Roman" w:cs="Arial"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D4C"/>
    <w:rPr>
      <w:color w:val="605E5C"/>
      <w:shd w:val="clear" w:color="auto" w:fill="E1DFDD"/>
    </w:rPr>
  </w:style>
  <w:style w:type="paragraph" w:customStyle="1" w:styleId="Default">
    <w:name w:val="Default"/>
    <w:rsid w:val="007D0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idar.fekon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a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B87A-CBE1-4D93-BD3E-A92F7C9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25</cp:revision>
  <cp:lastPrinted>2018-09-07T06:26:00Z</cp:lastPrinted>
  <dcterms:created xsi:type="dcterms:W3CDTF">2020-09-16T07:34:00Z</dcterms:created>
  <dcterms:modified xsi:type="dcterms:W3CDTF">2020-10-01T07:16:00Z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